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720" w:firstLineChars="200"/>
        <w:jc w:val="center"/>
        <w:rPr>
          <w:rFonts w:hint="eastAsia" w:ascii="华文中宋" w:hAnsi="华文中宋" w:eastAsia="华文中宋"/>
          <w:sz w:val="36"/>
          <w:szCs w:val="36"/>
        </w:rPr>
      </w:pPr>
      <w:bookmarkStart w:id="0" w:name="YS060100"/>
      <w:bookmarkStart w:id="1" w:name="第七部分部门决算分析报告撰写提纲"/>
    </w:p>
    <w:bookmarkEnd w:id="0"/>
    <w:bookmarkEnd w:id="1"/>
    <w:p>
      <w:pPr>
        <w:snapToGrid w:val="0"/>
        <w:ind w:firstLine="720" w:firstLineChars="200"/>
        <w:jc w:val="center"/>
        <w:rPr>
          <w:rFonts w:hint="eastAsia" w:ascii="华文中宋" w:hAnsi="华文中宋" w:eastAsia="华文中宋"/>
          <w:sz w:val="36"/>
          <w:szCs w:val="36"/>
        </w:rPr>
      </w:pPr>
    </w:p>
    <w:p>
      <w:pPr>
        <w:snapToGrid w:val="0"/>
        <w:jc w:val="center"/>
        <w:rPr>
          <w:rFonts w:hint="eastAsia" w:ascii="华文中宋" w:hAnsi="华文中宋" w:eastAsia="华文中宋"/>
          <w:sz w:val="36"/>
          <w:szCs w:val="36"/>
        </w:rPr>
      </w:pPr>
      <w:r>
        <w:rPr>
          <w:rFonts w:hint="eastAsia" w:ascii="华文中宋" w:hAnsi="华文中宋" w:eastAsia="华文中宋"/>
          <w:sz w:val="36"/>
          <w:szCs w:val="36"/>
        </w:rPr>
        <w:t>2020年度部门决算分析报告撰写提纲</w:t>
      </w:r>
    </w:p>
    <w:p>
      <w:pPr>
        <w:snapToGrid w:val="0"/>
        <w:jc w:val="center"/>
        <w:rPr>
          <w:rFonts w:hint="eastAsia" w:ascii="华文中宋" w:hAnsi="华文中宋" w:eastAsia="华文中宋"/>
          <w:sz w:val="36"/>
          <w:szCs w:val="36"/>
        </w:rPr>
      </w:pPr>
      <w:r>
        <w:rPr>
          <w:rFonts w:hint="eastAsia" w:ascii="华文中宋" w:hAnsi="华文中宋" w:eastAsia="华文中宋"/>
          <w:sz w:val="36"/>
          <w:szCs w:val="36"/>
        </w:rPr>
        <w:t>（基层单位版）</w:t>
      </w:r>
    </w:p>
    <w:p>
      <w:pPr>
        <w:snapToGrid w:val="0"/>
        <w:ind w:firstLine="640" w:firstLineChars="200"/>
        <w:rPr>
          <w:rFonts w:hint="eastAsia" w:ascii="仿宋_GB2312" w:hAnsi="仿宋" w:eastAsia="仿宋_GB2312"/>
          <w:sz w:val="32"/>
          <w:szCs w:val="32"/>
        </w:rPr>
      </w:pPr>
    </w:p>
    <w:p>
      <w:pPr>
        <w:snapToGrid w:val="0"/>
        <w:spacing w:line="520" w:lineRule="exact"/>
        <w:ind w:firstLine="640" w:firstLineChars="200"/>
        <w:rPr>
          <w:rFonts w:hint="eastAsia" w:ascii="黑体" w:hAnsi="黑体" w:eastAsia="黑体"/>
          <w:sz w:val="32"/>
          <w:szCs w:val="32"/>
        </w:rPr>
      </w:pPr>
      <w:bookmarkStart w:id="2" w:name="YS060101"/>
      <w:r>
        <w:rPr>
          <w:rFonts w:hint="eastAsia" w:ascii="黑体" w:hAnsi="黑体" w:eastAsia="黑体"/>
          <w:sz w:val="32"/>
          <w:szCs w:val="32"/>
        </w:rPr>
        <w:t>一、单位情况</w:t>
      </w:r>
    </w:p>
    <w:bookmarkEnd w:id="2"/>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（一）基本情况。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贯彻执行卫生健康、中医药事业发展的法律、法规以及各项规章制度。负责协调推进全县医药卫生体制改革和医疗保障，统筹规划全县卫生和计划生育服务资源配置。负责区域卫生和计划生育规划的编制和实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负责组织实施疾病预防控制规划、计划免疫规划和严重危害人民健康的公共卫生问题的干预措施，协调有关部门对重大疾病实施综合防控与干预，制定卫生应急和紧急医学救援预案、突发公共卫生事件监测和风险评估计划，组织和指导实施突发公共卫生事件预防控制与医疗应急处置，发布法定报告传染病疫情信息、突发公共卫生事件应急处置信息。</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负责组织开展职责范围内的职业卫生、放射卫生、环境卫生、学校卫生、公共场所和饮用水的卫生的监测、调查、评估和监督。负责传染病防治监督。组织开展食品安全风险监测、评估、预警和交流工作，宣传贯彻食品安全地方标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负责组织拟订并实施全县基层卫生和计划生育服务、妇幼卫生发展规划和政策措施，加强全县基层卫生和计划生育、妇幼卫生服务体系建设，推进基本公共卫生和计划生育服务均等化，完善基础运行新机制和乡村医生管理制度。负责新型农村合作医疗的综合管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负责医疗机构和医疗服务的全行业的管理。制定医疗机构及其医疗服务、医疗技术、医疗质量、医疗安全以及采供血机构管理的政策、规范、标准并组织实施，会同有关部门贯彻执行国家卫生专业技术人员准入、资格标准，实施卫生专业技术人员执业规则和服务规范，建立医疗服务评价和监督管理体系。</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（六）负责组织推进公立医院改革，建立公益性为导向的绩效考核和评价运行机制。贯彻落实国家药物政策，执行国家基本药物制度和国家基本药物目录，执行国家基本药物采购、配送、使用的管理制度。</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贯彻落实生育政策，组织实施全县出生人口性别比综合治理工作，组织监测计划生育发展动态。制定计划生育技术服务管理制度并监督实施。制定优生优育和提高出生人口素质的政策措施并组织实施，推动实施计划生育生殖健康促进计划，降低出生缺陷人口数量。</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（九）组织落实流动人口计划生育服务管理制度，推动建立流动人口卫生和计划生育信息共享和公共服务工作机制。</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组织拟订全省卫生和计划生育人才发展规划，加强卫生和计划生育人才队伍建设，加强全科医生等急需紧缺专业人才培养，贯彻落实住院医师和专科医师规范化培训制度，组织实施卫生计生专业技术人员专业培训。</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（十一）组织拟订全县卫生和计划生育科技发展规划，组织实施卫生和计划生育相关科研攻关项目，指导科技成果的普及应用工作。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（十二）指导乡镇（街道）卫生和计划生育工作，完善综合监督执法体系，规范执法行为，监督检查法律法规和政策措施的落实情况，组织查处重大违法行为。监督落实计划生育一票否决制。</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（十三）负责卫生和计划生育宣传、健康教育、健康促进和信息化建设等工作，参与全县人口基础信息库建设，依法组织实施抽样调查和专项调查。</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（十四）拟定全县中医药中长期发展规划，并纳入卫生和计划生育事业发展总体规划和战略目标。加强中医药科技研究和人才培养，指导和管理各类中医医疗保健机构推进全县中医药的继承创新。</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（十五）负责县保健委员会确定的保健对象的医疗保健和预防保健工作。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（十六）承担县爱国卫生运动会、深化医药卫生体制改革领导小组和县防治艾滋病工作委员会的日常工作。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（十七）承办县委、县政府和上级主管部门交办的其他事项。</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2．机构情况，内设办公室、医政医管科、公共卫生科、综合监督科、计划生育科、计划财务科、体制改革办公室。</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3．人员情况，年末在职1</w:t>
      </w:r>
      <w:r>
        <w:rPr>
          <w:rFonts w:hint="eastAsia" w:ascii="仿宋_GB2312" w:hAnsi="仿宋" w:eastAsia="仿宋_GB2312"/>
          <w:sz w:val="32"/>
          <w:szCs w:val="32"/>
          <w:lang w:val="en-US" w:eastAsia="zh-CN"/>
        </w:rPr>
        <w:t>6</w:t>
      </w:r>
      <w:r>
        <w:rPr>
          <w:rFonts w:hint="eastAsia" w:ascii="仿宋_GB2312" w:hAnsi="仿宋" w:eastAsia="仿宋_GB2312"/>
          <w:sz w:val="32"/>
          <w:szCs w:val="32"/>
        </w:rPr>
        <w:t>人，退休2</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p>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（二）当年取得的主要事业成效。</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概述单位工作开展情况及主要事业成效。</w:t>
      </w:r>
      <w:r>
        <w:rPr>
          <w:rFonts w:hint="eastAsia" w:ascii="仿宋_GB2312" w:hAnsi="仿宋" w:eastAsia="仿宋_GB2312"/>
          <w:sz w:val="32"/>
          <w:szCs w:val="32"/>
          <w:lang w:eastAsia="zh-CN"/>
        </w:rPr>
        <w:t>一是新冠疫情防控工作成立专项应急处置队伍</w:t>
      </w:r>
      <w:r>
        <w:rPr>
          <w:rFonts w:hint="eastAsia" w:ascii="仿宋_GB2312" w:hAnsi="仿宋" w:eastAsia="仿宋_GB2312"/>
          <w:sz w:val="32"/>
          <w:szCs w:val="32"/>
          <w:lang w:val="en-US" w:eastAsia="zh-CN"/>
        </w:rPr>
        <w:t>6个，完善应急物资储备，建设医疗哨点，建成核实实验室3个，严格落实疫情管控措施；二是公立医院综合改革，落实国家基本药物制度，对口支援、医联体和医共体全面提升；三是健康扶贫工作，多重保障让贫困群众看得起病，分类救治让贫困群众看得好病，精准服务让贫困群众不得病少生病；四是党建工作坚持从严从实要求，加强基层党组织建设；五是医疗服务管理工作，以提高人民健康服务水平为中心，以解决医疗安全、医疗服务、医患关系等问题为导向，加强医疗服务、就医环境、行风管理等方面建设；六是中医药事业不断提升；七是人口增长平稳有序，全面落实计划生育奖励扶助、特别扶助政策；八是健康促进工作，以健康龙江、健康抚远为主题，强化健康知识普及，促进健康行为养成，进一步提高人民群众健康意识和健康水平；九是疾病预防控制体系更加完善；十是综合监督工作，对重点场所严防严控，依法监督。</w:t>
      </w:r>
    </w:p>
    <w:p>
      <w:pPr>
        <w:snapToGrid w:val="0"/>
        <w:spacing w:line="520" w:lineRule="exact"/>
        <w:ind w:firstLine="640" w:firstLineChars="200"/>
        <w:rPr>
          <w:rFonts w:hint="eastAsia" w:ascii="黑体" w:hAnsi="黑体" w:eastAsia="黑体"/>
          <w:sz w:val="32"/>
          <w:szCs w:val="32"/>
        </w:rPr>
      </w:pPr>
      <w:bookmarkStart w:id="3" w:name="YS060102"/>
      <w:r>
        <w:rPr>
          <w:rFonts w:hint="eastAsia" w:ascii="黑体" w:hAnsi="黑体" w:eastAsia="黑体"/>
          <w:sz w:val="32"/>
          <w:szCs w:val="32"/>
        </w:rPr>
        <w:t>二、收入支出预算执行情况分析</w:t>
      </w:r>
    </w:p>
    <w:bookmarkEnd w:id="3"/>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（一）收入支出预算安排情况。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包括单位收入年初预算</w:t>
      </w:r>
      <w:r>
        <w:rPr>
          <w:rFonts w:hint="eastAsia" w:ascii="仿宋_GB2312" w:hAnsi="仿宋" w:eastAsia="仿宋_GB2312"/>
          <w:sz w:val="32"/>
          <w:szCs w:val="32"/>
          <w:lang w:val="en-US" w:eastAsia="zh-CN"/>
        </w:rPr>
        <w:t>514.71万元</w:t>
      </w:r>
      <w:r>
        <w:rPr>
          <w:rFonts w:hint="eastAsia" w:ascii="仿宋_GB2312" w:hAnsi="仿宋" w:eastAsia="仿宋_GB2312"/>
          <w:sz w:val="32"/>
          <w:szCs w:val="32"/>
        </w:rPr>
        <w:t>、支出年初预算</w:t>
      </w:r>
      <w:r>
        <w:rPr>
          <w:rFonts w:hint="eastAsia" w:ascii="仿宋_GB2312" w:hAnsi="仿宋" w:eastAsia="仿宋_GB2312"/>
          <w:sz w:val="32"/>
          <w:szCs w:val="32"/>
          <w:lang w:val="en-US" w:eastAsia="zh-CN"/>
        </w:rPr>
        <w:t>514.71</w:t>
      </w:r>
      <w:r>
        <w:rPr>
          <w:rFonts w:hint="eastAsia" w:ascii="仿宋_GB2312" w:hAnsi="仿宋" w:eastAsia="仿宋_GB2312"/>
          <w:sz w:val="32"/>
          <w:szCs w:val="32"/>
          <w:lang w:eastAsia="zh-CN"/>
        </w:rPr>
        <w:t>万元</w:t>
      </w:r>
      <w:r>
        <w:rPr>
          <w:rFonts w:hint="eastAsia" w:ascii="仿宋_GB2312" w:hAnsi="仿宋" w:eastAsia="仿宋_GB2312"/>
          <w:sz w:val="32"/>
          <w:szCs w:val="32"/>
        </w:rPr>
        <w:t>，与上年对比情况及</w:t>
      </w:r>
      <w:r>
        <w:rPr>
          <w:rFonts w:hint="eastAsia" w:ascii="仿宋_GB2312" w:hAnsi="仿宋" w:eastAsia="仿宋_GB2312"/>
          <w:sz w:val="32"/>
          <w:szCs w:val="32"/>
          <w:lang w:eastAsia="zh-CN"/>
        </w:rPr>
        <w:t>分别减少</w:t>
      </w:r>
      <w:r>
        <w:rPr>
          <w:rFonts w:hint="eastAsia" w:ascii="仿宋_GB2312" w:hAnsi="仿宋" w:eastAsia="仿宋_GB2312"/>
          <w:sz w:val="32"/>
          <w:szCs w:val="32"/>
          <w:lang w:val="en-US" w:eastAsia="zh-CN"/>
        </w:rPr>
        <w:t>49.35%，63.19%，压缩经费用于防疫支出</w:t>
      </w:r>
      <w:r>
        <w:rPr>
          <w:rFonts w:hint="eastAsia" w:ascii="仿宋_GB2312" w:hAnsi="仿宋" w:eastAsia="仿宋_GB2312"/>
          <w:sz w:val="32"/>
          <w:szCs w:val="32"/>
        </w:rPr>
        <w:t>。</w:t>
      </w:r>
    </w:p>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（二）收入支出预算执行情况。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当年收入支出预算执行基本情况，</w:t>
      </w:r>
      <w:r>
        <w:rPr>
          <w:rFonts w:hint="eastAsia" w:ascii="仿宋_GB2312" w:hAnsi="仿宋" w:eastAsia="仿宋_GB2312"/>
          <w:sz w:val="32"/>
          <w:szCs w:val="32"/>
          <w:lang w:eastAsia="zh-CN"/>
        </w:rPr>
        <w:t>调整预算收入</w:t>
      </w:r>
      <w:r>
        <w:rPr>
          <w:rFonts w:hint="eastAsia" w:ascii="仿宋_GB2312" w:hAnsi="仿宋" w:eastAsia="仿宋_GB2312"/>
          <w:sz w:val="32"/>
          <w:szCs w:val="32"/>
          <w:lang w:val="en-US" w:eastAsia="zh-CN"/>
        </w:rPr>
        <w:t>6742.44万元，支出3421.29万元，</w:t>
      </w:r>
      <w:r>
        <w:rPr>
          <w:rFonts w:hint="eastAsia" w:ascii="仿宋_GB2312" w:hAnsi="仿宋" w:eastAsia="仿宋_GB2312"/>
          <w:sz w:val="32"/>
          <w:szCs w:val="32"/>
        </w:rPr>
        <w:t>与上年度对比情况，</w:t>
      </w:r>
      <w:r>
        <w:rPr>
          <w:rFonts w:hint="eastAsia" w:ascii="仿宋_GB2312" w:hAnsi="仿宋" w:eastAsia="仿宋_GB2312"/>
          <w:sz w:val="32"/>
          <w:szCs w:val="32"/>
          <w:lang w:eastAsia="zh-CN"/>
        </w:rPr>
        <w:t>分别增加</w:t>
      </w:r>
      <w:r>
        <w:rPr>
          <w:rFonts w:hint="eastAsia" w:ascii="仿宋_GB2312" w:hAnsi="仿宋" w:eastAsia="仿宋_GB2312"/>
          <w:sz w:val="32"/>
          <w:szCs w:val="32"/>
          <w:lang w:val="en-US" w:eastAsia="zh-CN"/>
        </w:rPr>
        <w:t>262.59%，109.6%，</w:t>
      </w:r>
      <w:r>
        <w:rPr>
          <w:rFonts w:hint="eastAsia" w:ascii="仿宋_GB2312" w:hAnsi="仿宋" w:eastAsia="仿宋_GB2312"/>
          <w:sz w:val="32"/>
          <w:szCs w:val="32"/>
        </w:rPr>
        <w:t>主要原因</w:t>
      </w:r>
      <w:r>
        <w:rPr>
          <w:rFonts w:hint="eastAsia" w:ascii="仿宋_GB2312" w:hAnsi="仿宋" w:eastAsia="仿宋_GB2312"/>
          <w:sz w:val="32"/>
          <w:szCs w:val="32"/>
          <w:lang w:eastAsia="zh-CN"/>
        </w:rPr>
        <w:t>防疫支出，其中政府性基金</w:t>
      </w:r>
      <w:r>
        <w:rPr>
          <w:rFonts w:hint="eastAsia" w:ascii="仿宋_GB2312" w:hAnsi="仿宋" w:eastAsia="仿宋_GB2312"/>
          <w:sz w:val="32"/>
          <w:szCs w:val="32"/>
          <w:lang w:val="en-US" w:eastAsia="zh-CN"/>
        </w:rPr>
        <w:t>1242万元，传染病区综合楼建设1100万元，以及核酸实验室建设等</w:t>
      </w:r>
      <w:r>
        <w:rPr>
          <w:rFonts w:hint="eastAsia" w:ascii="仿宋_GB2312" w:hAnsi="仿宋" w:eastAsia="仿宋_GB2312"/>
          <w:sz w:val="32"/>
          <w:szCs w:val="32"/>
        </w:rPr>
        <w:t>。</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1．收入支出与预算对比分析。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（1）预、决算差异情况，可分收入支出功能科目、分单位、分收入支出具体项目逐项对比（可列表）。预算社会保障就业支出</w:t>
      </w:r>
      <w:r>
        <w:rPr>
          <w:rFonts w:hint="eastAsia" w:ascii="仿宋_GB2312" w:hAnsi="仿宋" w:eastAsia="仿宋_GB2312"/>
          <w:sz w:val="32"/>
          <w:szCs w:val="32"/>
          <w:lang w:val="en-US" w:eastAsia="zh-CN"/>
        </w:rPr>
        <w:t>37.01</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467.9</w:t>
      </w:r>
      <w:r>
        <w:rPr>
          <w:rFonts w:hint="eastAsia" w:ascii="仿宋_GB2312" w:hAnsi="仿宋" w:eastAsia="仿宋_GB2312"/>
          <w:sz w:val="32"/>
          <w:szCs w:val="32"/>
        </w:rPr>
        <w:t>万元，住房保障支出</w:t>
      </w:r>
      <w:r>
        <w:rPr>
          <w:rFonts w:hint="eastAsia" w:ascii="仿宋_GB2312" w:hAnsi="仿宋" w:eastAsia="仿宋_GB2312"/>
          <w:sz w:val="32"/>
          <w:szCs w:val="32"/>
          <w:lang w:val="en-US" w:eastAsia="zh-CN"/>
        </w:rPr>
        <w:t>9.78</w:t>
      </w:r>
      <w:r>
        <w:rPr>
          <w:rFonts w:hint="eastAsia" w:ascii="仿宋_GB2312" w:hAnsi="仿宋" w:eastAsia="仿宋_GB2312"/>
          <w:sz w:val="32"/>
          <w:szCs w:val="32"/>
        </w:rPr>
        <w:t>万元；决算社会保障就业支出</w:t>
      </w:r>
      <w:r>
        <w:rPr>
          <w:rFonts w:hint="eastAsia" w:ascii="仿宋_GB2312" w:hAnsi="仿宋" w:eastAsia="仿宋_GB2312"/>
          <w:sz w:val="32"/>
          <w:szCs w:val="32"/>
          <w:lang w:val="en-US" w:eastAsia="zh-CN"/>
        </w:rPr>
        <w:t>53.7</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2135.44</w:t>
      </w:r>
      <w:r>
        <w:rPr>
          <w:rFonts w:hint="eastAsia" w:ascii="仿宋_GB2312" w:hAnsi="仿宋" w:eastAsia="仿宋_GB2312"/>
          <w:sz w:val="32"/>
          <w:szCs w:val="32"/>
        </w:rPr>
        <w:t>万元，住房保障支出</w:t>
      </w:r>
      <w:r>
        <w:rPr>
          <w:rFonts w:hint="eastAsia" w:ascii="仿宋_GB2312" w:hAnsi="仿宋" w:eastAsia="仿宋_GB2312"/>
          <w:sz w:val="32"/>
          <w:szCs w:val="32"/>
          <w:lang w:val="en-US" w:eastAsia="zh-CN"/>
        </w:rPr>
        <w:t>9.78</w:t>
      </w:r>
      <w:r>
        <w:rPr>
          <w:rFonts w:hint="eastAsia" w:ascii="仿宋_GB2312" w:hAnsi="仿宋" w:eastAsia="仿宋_GB2312"/>
          <w:sz w:val="32"/>
          <w:szCs w:val="32"/>
        </w:rPr>
        <w:t>万元。</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（2）差异原因分析。差异较大的应分析到具体收入支出功能科目和具体单位。卫生健康支出含有拨付下属单位的医疗服务能力项目中央</w:t>
      </w:r>
      <w:r>
        <w:rPr>
          <w:rFonts w:hint="eastAsia" w:ascii="仿宋_GB2312" w:hAnsi="仿宋" w:eastAsia="仿宋_GB2312"/>
          <w:sz w:val="32"/>
          <w:szCs w:val="32"/>
          <w:lang w:val="en-US" w:eastAsia="zh-CN"/>
        </w:rPr>
        <w:t>400</w:t>
      </w:r>
      <w:r>
        <w:rPr>
          <w:rFonts w:hint="eastAsia" w:ascii="仿宋_GB2312" w:hAnsi="仿宋" w:eastAsia="仿宋_GB2312"/>
          <w:sz w:val="32"/>
          <w:szCs w:val="32"/>
        </w:rPr>
        <w:t>万元；卫生人才培养</w:t>
      </w:r>
      <w:r>
        <w:rPr>
          <w:rFonts w:hint="eastAsia" w:ascii="仿宋_GB2312" w:hAnsi="仿宋" w:eastAsia="仿宋_GB2312"/>
          <w:sz w:val="32"/>
          <w:szCs w:val="32"/>
          <w:lang w:val="en-US" w:eastAsia="zh-CN"/>
        </w:rPr>
        <w:t>56.48</w:t>
      </w:r>
      <w:r>
        <w:rPr>
          <w:rFonts w:hint="eastAsia" w:ascii="仿宋_GB2312" w:hAnsi="仿宋" w:eastAsia="仿宋_GB2312"/>
          <w:sz w:val="32"/>
          <w:szCs w:val="32"/>
        </w:rPr>
        <w:t>万元，公共卫生</w:t>
      </w:r>
      <w:r>
        <w:rPr>
          <w:rFonts w:hint="eastAsia" w:ascii="仿宋_GB2312" w:hAnsi="仿宋" w:eastAsia="仿宋_GB2312"/>
          <w:sz w:val="32"/>
          <w:szCs w:val="32"/>
          <w:lang w:val="en-US" w:eastAsia="zh-CN"/>
        </w:rPr>
        <w:t>397.29</w:t>
      </w:r>
      <w:r>
        <w:rPr>
          <w:rFonts w:hint="eastAsia" w:ascii="仿宋_GB2312" w:hAnsi="仿宋" w:eastAsia="仿宋_GB2312"/>
          <w:sz w:val="32"/>
          <w:szCs w:val="32"/>
        </w:rPr>
        <w:t>万元，奖扶特扶</w:t>
      </w:r>
      <w:r>
        <w:rPr>
          <w:rFonts w:hint="eastAsia" w:ascii="仿宋_GB2312" w:hAnsi="仿宋" w:eastAsia="仿宋_GB2312"/>
          <w:sz w:val="32"/>
          <w:szCs w:val="32"/>
          <w:lang w:val="en-US" w:eastAsia="zh-CN"/>
        </w:rPr>
        <w:t>115.56</w:t>
      </w:r>
      <w:r>
        <w:rPr>
          <w:rFonts w:hint="eastAsia" w:ascii="仿宋_GB2312" w:hAnsi="仿宋" w:eastAsia="仿宋_GB2312"/>
          <w:sz w:val="32"/>
          <w:szCs w:val="32"/>
        </w:rPr>
        <w:t>万元，贫困村卫生室补助</w:t>
      </w:r>
      <w:r>
        <w:rPr>
          <w:rFonts w:hint="eastAsia" w:ascii="仿宋_GB2312" w:hAnsi="仿宋" w:eastAsia="仿宋_GB2312"/>
          <w:sz w:val="32"/>
          <w:szCs w:val="32"/>
          <w:lang w:val="en-US" w:eastAsia="zh-CN"/>
        </w:rPr>
        <w:t>33.98</w:t>
      </w:r>
      <w:r>
        <w:rPr>
          <w:rFonts w:hint="eastAsia" w:ascii="仿宋_GB2312" w:hAnsi="仿宋" w:eastAsia="仿宋_GB2312"/>
          <w:sz w:val="32"/>
          <w:szCs w:val="32"/>
        </w:rPr>
        <w:t>万元，</w:t>
      </w:r>
      <w:r>
        <w:rPr>
          <w:rFonts w:hint="eastAsia" w:ascii="仿宋_GB2312" w:hAnsi="仿宋" w:eastAsia="仿宋_GB2312"/>
          <w:sz w:val="32"/>
          <w:szCs w:val="32"/>
          <w:lang w:eastAsia="zh-CN"/>
        </w:rPr>
        <w:t>疫情防控</w:t>
      </w:r>
      <w:r>
        <w:rPr>
          <w:rFonts w:hint="eastAsia" w:ascii="仿宋_GB2312" w:hAnsi="仿宋" w:eastAsia="仿宋_GB2312"/>
          <w:sz w:val="32"/>
          <w:szCs w:val="32"/>
          <w:lang w:val="en-US" w:eastAsia="zh-CN"/>
        </w:rPr>
        <w:t>1613</w:t>
      </w:r>
      <w:r>
        <w:rPr>
          <w:rFonts w:hint="eastAsia" w:ascii="仿宋_GB2312" w:hAnsi="仿宋" w:eastAsia="仿宋_GB2312"/>
          <w:sz w:val="32"/>
          <w:szCs w:val="32"/>
        </w:rPr>
        <w:t>万元，综合医改</w:t>
      </w:r>
      <w:r>
        <w:rPr>
          <w:rFonts w:hint="eastAsia" w:ascii="仿宋_GB2312" w:hAnsi="仿宋" w:eastAsia="仿宋_GB2312"/>
          <w:sz w:val="32"/>
          <w:szCs w:val="32"/>
          <w:lang w:val="en-US" w:eastAsia="zh-CN"/>
        </w:rPr>
        <w:t>300</w:t>
      </w:r>
      <w:r>
        <w:rPr>
          <w:rFonts w:hint="eastAsia" w:ascii="仿宋_GB2312" w:hAnsi="仿宋" w:eastAsia="仿宋_GB2312"/>
          <w:sz w:val="32"/>
          <w:szCs w:val="32"/>
        </w:rPr>
        <w:t>万元</w:t>
      </w:r>
      <w:r>
        <w:rPr>
          <w:rFonts w:hint="eastAsia" w:ascii="仿宋_GB2312" w:hAnsi="仿宋" w:eastAsia="仿宋_GB2312"/>
          <w:sz w:val="32"/>
          <w:szCs w:val="32"/>
          <w:lang w:eastAsia="zh-CN"/>
        </w:rPr>
        <w:t>，卫生三项检测</w:t>
      </w:r>
      <w:r>
        <w:rPr>
          <w:rFonts w:hint="eastAsia" w:ascii="仿宋_GB2312" w:hAnsi="仿宋" w:eastAsia="仿宋_GB2312"/>
          <w:sz w:val="32"/>
          <w:szCs w:val="32"/>
          <w:lang w:val="en-US" w:eastAsia="zh-CN"/>
        </w:rPr>
        <w:t>96.1万元</w:t>
      </w:r>
      <w:r>
        <w:rPr>
          <w:rFonts w:hint="eastAsia" w:ascii="仿宋_GB2312" w:hAnsi="仿宋" w:eastAsia="仿宋_GB2312"/>
          <w:sz w:val="32"/>
          <w:szCs w:val="32"/>
        </w:rPr>
        <w:t>等。</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2．收入支出结构分析。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（1）各项收入占总收入的比重，各项支出占总支出的比重（可分别制作饼状图）。</w:t>
      </w:r>
      <w:r>
        <w:rPr>
          <w:rFonts w:hint="eastAsia" w:ascii="仿宋_GB2312" w:hAnsi="仿宋" w:eastAsia="仿宋_GB2312"/>
          <w:sz w:val="32"/>
          <w:szCs w:val="32"/>
          <w:lang w:eastAsia="zh-CN"/>
        </w:rPr>
        <w:t>一般公共预算财政拨款收入占总收入</w:t>
      </w:r>
      <w:r>
        <w:rPr>
          <w:rFonts w:hint="eastAsia" w:ascii="仿宋_GB2312" w:hAnsi="仿宋" w:eastAsia="仿宋_GB2312"/>
          <w:sz w:val="32"/>
          <w:szCs w:val="32"/>
          <w:lang w:val="en-US" w:eastAsia="zh-CN"/>
        </w:rPr>
        <w:t>82.54%,政府性基金财政预算拨款收入占总收入18.42%，其他收入占比0.96%。</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（2）收入支出与上年度对比情况及原因分析(可用柱形图或折线图)。</w:t>
      </w:r>
      <w:r>
        <w:rPr>
          <w:rFonts w:hint="eastAsia" w:ascii="仿宋_GB2312" w:hAnsi="仿宋" w:eastAsia="仿宋_GB2312"/>
          <w:sz w:val="32"/>
          <w:szCs w:val="32"/>
          <w:lang w:eastAsia="zh-CN"/>
        </w:rPr>
        <w:t>本年收入比上年增加</w:t>
      </w:r>
      <w:r>
        <w:rPr>
          <w:rFonts w:hint="eastAsia" w:ascii="仿宋_GB2312" w:hAnsi="仿宋" w:eastAsia="仿宋_GB2312"/>
          <w:sz w:val="32"/>
          <w:szCs w:val="32"/>
          <w:lang w:val="en-US" w:eastAsia="zh-CN"/>
        </w:rPr>
        <w:t>436.67%，支出比上年增加332.23%，</w:t>
      </w:r>
      <w:r>
        <w:rPr>
          <w:rFonts w:hint="eastAsia" w:ascii="仿宋_GB2312" w:hAnsi="仿宋" w:eastAsia="仿宋_GB2312"/>
          <w:sz w:val="32"/>
          <w:szCs w:val="32"/>
          <w:lang w:eastAsia="zh-CN"/>
        </w:rPr>
        <w:t>防疫支出，其中政府性基金</w:t>
      </w:r>
      <w:r>
        <w:rPr>
          <w:rFonts w:hint="eastAsia" w:ascii="仿宋_GB2312" w:hAnsi="仿宋" w:eastAsia="仿宋_GB2312"/>
          <w:sz w:val="32"/>
          <w:szCs w:val="32"/>
          <w:lang w:val="en-US" w:eastAsia="zh-CN"/>
        </w:rPr>
        <w:t>1242万元，传染病区综合楼建设1100万元，以及核酸实验室建设等</w:t>
      </w:r>
      <w:r>
        <w:rPr>
          <w:rFonts w:hint="eastAsia" w:ascii="仿宋_GB2312" w:hAnsi="仿宋" w:eastAsia="仿宋_GB2312"/>
          <w:sz w:val="32"/>
          <w:szCs w:val="32"/>
        </w:rPr>
        <w:t>。</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3．支出按经济分类科目分析。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（1）“三公”经费支出情况：可进行上下年对比、预决算对比，人均支出情况分析（可做表、柱图、折线图）。</w:t>
      </w:r>
      <w:r>
        <w:rPr>
          <w:rFonts w:hint="eastAsia" w:ascii="仿宋_GB2312" w:hAnsi="仿宋" w:eastAsia="仿宋_GB2312"/>
          <w:sz w:val="32"/>
          <w:szCs w:val="32"/>
          <w:lang w:eastAsia="zh-CN"/>
        </w:rPr>
        <w:t>无</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（2）会议费支出情况：可进行上下年对比,人均支出情况分析（可做表、柱图、折线图）。</w:t>
      </w:r>
      <w:r>
        <w:rPr>
          <w:rFonts w:hint="eastAsia" w:ascii="仿宋_GB2312" w:hAnsi="仿宋" w:eastAsia="仿宋_GB2312"/>
          <w:sz w:val="32"/>
          <w:szCs w:val="32"/>
          <w:lang w:eastAsia="zh-CN"/>
        </w:rPr>
        <w:t>无</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（3）培训费支出情况：可进行上下年对比，人均支出情况分析（可做表、柱图、折线图）。</w:t>
      </w:r>
      <w:r>
        <w:rPr>
          <w:rFonts w:hint="eastAsia" w:ascii="仿宋_GB2312" w:hAnsi="仿宋" w:eastAsia="仿宋_GB2312"/>
          <w:sz w:val="32"/>
          <w:szCs w:val="32"/>
          <w:lang w:eastAsia="zh-CN"/>
        </w:rPr>
        <w:t>无</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（4）其他对单位影响较大的支出情况。防疫支出，其中政府性基金1242万元以及核酸实验室建设等。</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（5）重点经济分类支出中存在的问题及改进措施。</w:t>
      </w:r>
      <w:r>
        <w:rPr>
          <w:rFonts w:hint="eastAsia" w:ascii="仿宋_GB2312" w:hAnsi="仿宋" w:eastAsia="仿宋_GB2312"/>
          <w:sz w:val="32"/>
          <w:szCs w:val="32"/>
          <w:lang w:eastAsia="zh-CN"/>
        </w:rPr>
        <w:t>无</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4.财政拨款收入、支出分析。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分析财政拨款收入、支出总体情况，支出要按照基本支出和项目支出分析具体构成及特点。本年度财政拨款收入</w:t>
      </w:r>
      <w:r>
        <w:rPr>
          <w:rFonts w:hint="eastAsia" w:ascii="仿宋_GB2312" w:hAnsi="仿宋" w:eastAsia="仿宋_GB2312"/>
          <w:sz w:val="32"/>
          <w:szCs w:val="32"/>
          <w:lang w:val="en-US" w:eastAsia="zh-CN"/>
        </w:rPr>
        <w:t>6672.34</w:t>
      </w:r>
      <w:r>
        <w:rPr>
          <w:rFonts w:hint="eastAsia" w:ascii="仿宋_GB2312" w:hAnsi="仿宋" w:eastAsia="仿宋_GB2312"/>
          <w:sz w:val="32"/>
          <w:szCs w:val="32"/>
        </w:rPr>
        <w:t>万元、支出</w:t>
      </w:r>
      <w:r>
        <w:rPr>
          <w:rFonts w:hint="eastAsia" w:ascii="仿宋_GB2312" w:hAnsi="仿宋" w:eastAsia="仿宋_GB2312"/>
          <w:sz w:val="32"/>
          <w:szCs w:val="32"/>
          <w:lang w:val="en-US" w:eastAsia="zh-CN"/>
        </w:rPr>
        <w:t>3354.42</w:t>
      </w:r>
      <w:r>
        <w:rPr>
          <w:rFonts w:hint="eastAsia" w:ascii="仿宋_GB2312" w:hAnsi="仿宋" w:eastAsia="仿宋_GB2312"/>
          <w:sz w:val="32"/>
          <w:szCs w:val="32"/>
        </w:rPr>
        <w:t>万元，</w:t>
      </w:r>
      <w:r>
        <w:rPr>
          <w:rFonts w:hint="eastAsia" w:ascii="仿宋_GB2312" w:hAnsi="仿宋" w:eastAsia="仿宋_GB2312"/>
          <w:sz w:val="32"/>
          <w:szCs w:val="32"/>
          <w:lang w:eastAsia="zh-CN"/>
        </w:rPr>
        <w:t>其中</w:t>
      </w:r>
      <w:r>
        <w:rPr>
          <w:rFonts w:hint="eastAsia" w:ascii="仿宋_GB2312" w:hAnsi="仿宋" w:eastAsia="仿宋_GB2312"/>
          <w:sz w:val="32"/>
          <w:szCs w:val="32"/>
        </w:rPr>
        <w:t>基本支出</w:t>
      </w:r>
      <w:r>
        <w:rPr>
          <w:rFonts w:hint="eastAsia" w:ascii="仿宋_GB2312" w:hAnsi="仿宋" w:eastAsia="仿宋_GB2312"/>
          <w:sz w:val="32"/>
          <w:szCs w:val="32"/>
          <w:lang w:val="en-US" w:eastAsia="zh-CN"/>
        </w:rPr>
        <w:t>255.92</w:t>
      </w:r>
      <w:r>
        <w:rPr>
          <w:rFonts w:hint="eastAsia" w:ascii="仿宋_GB2312" w:hAnsi="仿宋" w:eastAsia="仿宋_GB2312"/>
          <w:sz w:val="32"/>
          <w:szCs w:val="32"/>
        </w:rPr>
        <w:t>万元，项目支出</w:t>
      </w:r>
      <w:r>
        <w:rPr>
          <w:rFonts w:hint="eastAsia" w:ascii="仿宋_GB2312" w:hAnsi="仿宋" w:eastAsia="仿宋_GB2312"/>
          <w:sz w:val="32"/>
          <w:szCs w:val="32"/>
          <w:lang w:val="en-US" w:eastAsia="zh-CN"/>
        </w:rPr>
        <w:t>3098.5</w:t>
      </w:r>
      <w:r>
        <w:rPr>
          <w:rFonts w:hint="eastAsia" w:ascii="仿宋_GB2312" w:hAnsi="仿宋" w:eastAsia="仿宋_GB2312"/>
          <w:sz w:val="32"/>
          <w:szCs w:val="32"/>
        </w:rPr>
        <w:t>万元。</w:t>
      </w:r>
    </w:p>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（三）年末结转和结余情况。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1．分资金来源、资金性质结转和结余情况，特别是项目经费结转和结余情况。</w:t>
      </w:r>
      <w:r>
        <w:rPr>
          <w:rFonts w:hint="eastAsia" w:ascii="仿宋_GB2312" w:hAnsi="仿宋" w:eastAsia="仿宋_GB2312"/>
          <w:sz w:val="32"/>
          <w:szCs w:val="32"/>
          <w:lang w:eastAsia="zh-CN"/>
        </w:rPr>
        <w:t>项目结转</w:t>
      </w:r>
      <w:r>
        <w:rPr>
          <w:rFonts w:hint="eastAsia" w:ascii="仿宋_GB2312" w:hAnsi="仿宋" w:eastAsia="仿宋_GB2312"/>
          <w:sz w:val="32"/>
          <w:szCs w:val="32"/>
          <w:lang w:val="en-US" w:eastAsia="zh-CN"/>
        </w:rPr>
        <w:t>3298万元。</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2．结转和结余规模较大的原因分析及消化结转和结余的对策。</w:t>
      </w:r>
      <w:r>
        <w:rPr>
          <w:rFonts w:hint="eastAsia" w:ascii="仿宋_GB2312" w:hAnsi="仿宋" w:eastAsia="仿宋_GB2312"/>
          <w:sz w:val="32"/>
          <w:szCs w:val="32"/>
          <w:lang w:eastAsia="zh-CN"/>
        </w:rPr>
        <w:t>其中传染病区综合楼建设项目结转</w:t>
      </w:r>
      <w:r>
        <w:rPr>
          <w:rFonts w:hint="eastAsia" w:ascii="仿宋_GB2312" w:hAnsi="仿宋" w:eastAsia="仿宋_GB2312"/>
          <w:sz w:val="32"/>
          <w:szCs w:val="32"/>
          <w:lang w:val="en-US" w:eastAsia="zh-CN"/>
        </w:rPr>
        <w:t>1081.19万元，乡镇卫生院医学毕业生补助结转12万元，社区卫生服务中心聘用职业医师结转5万元，抗疫政府性基金结转19.72万元，突发公共卫生事件结转2200万元。</w:t>
      </w:r>
    </w:p>
    <w:p>
      <w:pPr>
        <w:snapToGrid w:val="0"/>
        <w:spacing w:line="520" w:lineRule="exact"/>
        <w:ind w:firstLine="643" w:firstLineChars="200"/>
        <w:rPr>
          <w:rFonts w:hint="eastAsia" w:ascii="楷体_GB2312" w:hAnsi="仿宋" w:eastAsia="楷体_GB2312"/>
          <w:b/>
          <w:sz w:val="32"/>
          <w:szCs w:val="32"/>
        </w:rPr>
      </w:pPr>
      <w:bookmarkStart w:id="4" w:name="YS060103"/>
      <w:r>
        <w:rPr>
          <w:rFonts w:hint="eastAsia" w:ascii="楷体_GB2312" w:hAnsi="仿宋" w:eastAsia="楷体_GB2312"/>
          <w:b/>
          <w:sz w:val="32"/>
          <w:szCs w:val="32"/>
        </w:rPr>
        <w:t>（四）与预算支出相关的其他指标分析。</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对资产、负债信息进行分析，主要分析与上年度对比情况，包括增减绝对值与幅度，增减变动主要原因(可用柱形图或折线图)，对预算编制和执行的影响等。年末总资产</w:t>
      </w:r>
      <w:r>
        <w:rPr>
          <w:rFonts w:hint="eastAsia" w:ascii="仿宋_GB2312" w:hAnsi="仿宋" w:eastAsia="仿宋_GB2312"/>
          <w:sz w:val="32"/>
          <w:szCs w:val="32"/>
          <w:lang w:val="en-US" w:eastAsia="zh-CN"/>
        </w:rPr>
        <w:t>1189.26</w:t>
      </w:r>
      <w:r>
        <w:rPr>
          <w:rFonts w:hint="eastAsia" w:ascii="仿宋_GB2312" w:hAnsi="仿宋" w:eastAsia="仿宋_GB2312"/>
          <w:sz w:val="32"/>
          <w:szCs w:val="32"/>
        </w:rPr>
        <w:t>万元，比上年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100.22</w:t>
      </w:r>
      <w:r>
        <w:rPr>
          <w:rFonts w:hint="eastAsia" w:ascii="仿宋_GB2312" w:hAnsi="仿宋" w:eastAsia="仿宋_GB2312"/>
          <w:sz w:val="32"/>
          <w:szCs w:val="32"/>
        </w:rPr>
        <w:t>%。其中流动资产</w:t>
      </w:r>
      <w:r>
        <w:rPr>
          <w:rFonts w:hint="eastAsia" w:ascii="仿宋_GB2312" w:hAnsi="仿宋" w:eastAsia="仿宋_GB2312"/>
          <w:sz w:val="32"/>
          <w:szCs w:val="32"/>
          <w:lang w:val="en-US" w:eastAsia="zh-CN"/>
        </w:rPr>
        <w:t>3353.92</w:t>
      </w:r>
      <w:r>
        <w:rPr>
          <w:rFonts w:hint="eastAsia" w:ascii="仿宋_GB2312" w:hAnsi="仿宋" w:eastAsia="仿宋_GB2312"/>
          <w:sz w:val="32"/>
          <w:szCs w:val="32"/>
        </w:rPr>
        <w:t>万元，</w:t>
      </w:r>
      <w:r>
        <w:rPr>
          <w:rFonts w:hint="eastAsia" w:ascii="仿宋_GB2312" w:hAnsi="仿宋" w:eastAsia="仿宋_GB2312"/>
          <w:sz w:val="32"/>
          <w:szCs w:val="32"/>
          <w:lang w:eastAsia="zh-CN"/>
        </w:rPr>
        <w:t>财政应返还额度</w:t>
      </w:r>
      <w:r>
        <w:rPr>
          <w:rFonts w:hint="eastAsia" w:ascii="仿宋_GB2312" w:hAnsi="仿宋" w:eastAsia="仿宋_GB2312"/>
          <w:sz w:val="32"/>
          <w:szCs w:val="32"/>
          <w:lang w:val="en-US" w:eastAsia="zh-CN"/>
        </w:rPr>
        <w:t>1086.18万元，</w:t>
      </w:r>
      <w:r>
        <w:rPr>
          <w:rFonts w:hint="eastAsia" w:ascii="仿宋_GB2312" w:hAnsi="仿宋" w:eastAsia="仿宋_GB2312"/>
          <w:sz w:val="32"/>
          <w:szCs w:val="32"/>
          <w:lang w:eastAsia="zh-CN"/>
        </w:rPr>
        <w:t>传染病区综合楼建设项目结转</w:t>
      </w:r>
      <w:r>
        <w:rPr>
          <w:rFonts w:hint="eastAsia" w:ascii="仿宋_GB2312" w:hAnsi="仿宋" w:eastAsia="仿宋_GB2312"/>
          <w:sz w:val="32"/>
          <w:szCs w:val="32"/>
          <w:lang w:val="en-US" w:eastAsia="zh-CN"/>
        </w:rPr>
        <w:t>1081.19万元，社区卫生服务中心聘用职业医师结转5万元，突发公共卫生事件结转2200万元。</w:t>
      </w:r>
      <w:r>
        <w:rPr>
          <w:rFonts w:hint="eastAsia" w:ascii="仿宋_GB2312" w:hAnsi="仿宋" w:eastAsia="仿宋_GB2312"/>
          <w:sz w:val="32"/>
          <w:szCs w:val="32"/>
        </w:rPr>
        <w:t>非流动资产</w:t>
      </w:r>
      <w:r>
        <w:rPr>
          <w:rFonts w:hint="eastAsia" w:ascii="仿宋_GB2312" w:hAnsi="仿宋" w:eastAsia="仿宋_GB2312"/>
          <w:sz w:val="32"/>
          <w:szCs w:val="32"/>
          <w:lang w:val="en-US" w:eastAsia="zh-CN"/>
        </w:rPr>
        <w:t>35.33</w:t>
      </w:r>
      <w:r>
        <w:rPr>
          <w:rFonts w:hint="eastAsia" w:ascii="仿宋_GB2312" w:hAnsi="仿宋" w:eastAsia="仿宋_GB2312"/>
          <w:sz w:val="32"/>
          <w:szCs w:val="32"/>
        </w:rPr>
        <w:t>万元。</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年末负债26.</w:t>
      </w:r>
      <w:r>
        <w:rPr>
          <w:rFonts w:hint="eastAsia" w:ascii="仿宋_GB2312" w:hAnsi="仿宋" w:eastAsia="仿宋_GB2312"/>
          <w:sz w:val="32"/>
          <w:szCs w:val="32"/>
          <w:lang w:val="en-US" w:eastAsia="zh-CN"/>
        </w:rPr>
        <w:t>03</w:t>
      </w:r>
      <w:r>
        <w:rPr>
          <w:rFonts w:hint="eastAsia" w:ascii="仿宋_GB2312" w:hAnsi="仿宋" w:eastAsia="仿宋_GB2312"/>
          <w:sz w:val="32"/>
          <w:szCs w:val="32"/>
        </w:rPr>
        <w:t>万元，与上年持平</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（五）绩效目标完成情况。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1.概述项目绩效目标完成情况。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2.概述本单位整体支出绩效目标实现情况（如有）。</w:t>
      </w:r>
    </w:p>
    <w:p>
      <w:pPr>
        <w:snapToGrid w:val="0"/>
        <w:spacing w:line="52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（六）当年预算执行及绩效管理中存在问题、原因及改进措施。</w:t>
      </w:r>
    </w:p>
    <w:bookmarkEnd w:id="4"/>
    <w:p>
      <w:pPr>
        <w:snapToGrid w:val="0"/>
        <w:spacing w:line="520" w:lineRule="exact"/>
        <w:ind w:firstLine="640" w:firstLineChars="200"/>
        <w:rPr>
          <w:rFonts w:hint="eastAsia" w:ascii="黑体" w:hAnsi="黑体" w:eastAsia="黑体"/>
          <w:sz w:val="32"/>
          <w:szCs w:val="32"/>
        </w:rPr>
      </w:pPr>
      <w:bookmarkStart w:id="5" w:name="YS060104"/>
      <w:r>
        <w:rPr>
          <w:rFonts w:hint="eastAsia" w:ascii="黑体" w:hAnsi="黑体" w:eastAsia="黑体"/>
          <w:sz w:val="32"/>
          <w:szCs w:val="32"/>
        </w:rPr>
        <w:t>三、本年度部门决算等财务工作开展情况</w:t>
      </w:r>
    </w:p>
    <w:bookmarkEnd w:id="5"/>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（一）本单位财务管理、绩效管理、决算组织、编报、审核情况。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（二）本单位决算及绩效信息公开工作开展情况。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（三）对单位决算管理及报表设计的意见建议。</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（四）对加强部门决算数据分析利用工作的建议。</w:t>
      </w:r>
    </w:p>
    <w:p>
      <w:pPr>
        <w:snapToGrid w:val="0"/>
        <w:spacing w:line="520" w:lineRule="exact"/>
        <w:ind w:firstLine="640" w:firstLineChars="200"/>
        <w:rPr>
          <w:rFonts w:hint="eastAsia" w:ascii="仿宋_GB2312" w:hAnsi="仿宋" w:eastAsia="仿宋_GB2312"/>
          <w:sz w:val="32"/>
          <w:szCs w:val="32"/>
        </w:rPr>
      </w:pPr>
    </w:p>
    <w:p>
      <w:pPr>
        <w:snapToGrid w:val="0"/>
        <w:spacing w:line="520" w:lineRule="exact"/>
        <w:ind w:firstLine="640" w:firstLineChars="200"/>
        <w:rPr>
          <w:rFonts w:hint="eastAsia" w:ascii="仿宋_GB2312" w:hAnsi="仿宋" w:eastAsia="仿宋_GB2312"/>
          <w:sz w:val="32"/>
          <w:szCs w:val="32"/>
        </w:rPr>
      </w:pP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注：收入支出预算执行情况分析可参考部门决算分析评价表（见软件查询模板）及行政事业单位财务分析指标（附后）。</w:t>
      </w:r>
    </w:p>
    <w:p>
      <w:pPr>
        <w:snapToGrid w:val="0"/>
        <w:rPr>
          <w:rFonts w:hint="eastAsia" w:ascii="仿宋_GB2312" w:hAnsi="仿宋" w:eastAsia="仿宋_GB2312"/>
          <w:sz w:val="32"/>
          <w:szCs w:val="32"/>
        </w:rPr>
      </w:pPr>
      <w:r>
        <w:rPr>
          <w:rFonts w:ascii="仿宋_GB2312" w:hAnsi="仿宋" w:eastAsia="仿宋_GB2312"/>
          <w:sz w:val="32"/>
          <w:szCs w:val="32"/>
        </w:rPr>
        <w:br w:type="page"/>
      </w:r>
      <w:r>
        <w:rPr>
          <w:rFonts w:hint="eastAsia" w:ascii="仿宋_GB2312" w:hAnsi="仿宋" w:eastAsia="仿宋_GB2312"/>
          <w:sz w:val="32"/>
          <w:szCs w:val="32"/>
        </w:rPr>
        <w:t>附：</w:t>
      </w:r>
    </w:p>
    <w:p>
      <w:pPr>
        <w:snapToGrid w:val="0"/>
        <w:ind w:firstLine="640" w:firstLineChars="200"/>
        <w:jc w:val="center"/>
        <w:rPr>
          <w:rFonts w:hint="eastAsia" w:ascii="华文中宋" w:hAnsi="华文中宋" w:eastAsia="华文中宋"/>
          <w:sz w:val="32"/>
          <w:szCs w:val="32"/>
        </w:rPr>
      </w:pPr>
      <w:bookmarkStart w:id="6" w:name="YS060200"/>
    </w:p>
    <w:p>
      <w:pPr>
        <w:snapToGrid w:val="0"/>
        <w:ind w:firstLine="640" w:firstLineChars="200"/>
        <w:jc w:val="center"/>
        <w:rPr>
          <w:rFonts w:hint="eastAsia" w:ascii="华文中宋" w:hAnsi="华文中宋" w:eastAsia="华文中宋"/>
          <w:sz w:val="32"/>
          <w:szCs w:val="32"/>
        </w:rPr>
      </w:pPr>
      <w:r>
        <w:rPr>
          <w:rFonts w:hint="eastAsia" w:ascii="华文中宋" w:hAnsi="华文中宋" w:eastAsia="华文中宋"/>
          <w:sz w:val="32"/>
          <w:szCs w:val="32"/>
        </w:rPr>
        <w:t>行政事业单位财务分析指标</w:t>
      </w:r>
    </w:p>
    <w:bookmarkEnd w:id="6"/>
    <w:p>
      <w:pPr>
        <w:snapToGrid w:val="0"/>
        <w:ind w:firstLine="640" w:firstLineChars="200"/>
        <w:rPr>
          <w:rFonts w:hint="eastAsia" w:ascii="仿宋_GB2312" w:hAnsi="仿宋" w:eastAsia="仿宋_GB2312"/>
          <w:sz w:val="32"/>
          <w:szCs w:val="32"/>
        </w:rPr>
      </w:pPr>
    </w:p>
    <w:p>
      <w:pPr>
        <w:snapToGrid w:val="0"/>
        <w:ind w:firstLine="640" w:firstLineChars="200"/>
        <w:rPr>
          <w:rFonts w:hint="eastAsia" w:ascii="黑体" w:hAnsi="黑体" w:eastAsia="黑体"/>
          <w:sz w:val="32"/>
          <w:szCs w:val="32"/>
        </w:rPr>
      </w:pPr>
      <w:bookmarkStart w:id="7" w:name="YS060201"/>
      <w:r>
        <w:rPr>
          <w:rFonts w:hint="eastAsia" w:ascii="黑体" w:hAnsi="黑体" w:eastAsia="黑体"/>
          <w:sz w:val="32"/>
          <w:szCs w:val="32"/>
        </w:rPr>
        <w:t>一、行政单位财务分析指标</w:t>
      </w:r>
    </w:p>
    <w:bookmarkEnd w:id="7"/>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1.支出增长率，衡量行政单位支出的增长水平。计算公式为：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支出增长率＝(本期支出总额÷上期支出总额-1)×100%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2.当年预算支出完成率，衡量行政单位当年支出总预算及分项预算完成的程度。计算公式为：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当年预算支出完成率＝年终执行数÷调整预算数×100%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年终执行数不含上年结转和结余支出数。</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3.人均开支，衡量行政单位人均年消耗经费水平。计算公式为：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人均开支＝本期支出数÷本期平均在职人员数×100%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4.项目支出占总支出的比率，衡量行政单位的支出结构。计算公式为：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项目支出比率=本期项目支出数÷本期支出总数×100%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5.人员支出、公用支出占总支出的比率，衡量行政单位的支出结构。计算公式为：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人员支出比率=本期人员支出数÷本期支出总数×100%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公用支出比率=本期公用支出数÷本期支出总数×100%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6.人均办公使用面积，衡量行政单位办公用房配备情况。计算公式为：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人均办公使用面积=本期末单位办公用房使用面积÷本期末在职人员数</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7.人车比例，衡量行政单位公务用车配备情况。计算公式为：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人车比例=本期末在职人员数÷本期末公务用车实有数:1</w:t>
      </w:r>
    </w:p>
    <w:p>
      <w:pPr>
        <w:snapToGrid w:val="0"/>
        <w:ind w:firstLine="640" w:firstLineChars="200"/>
        <w:rPr>
          <w:rFonts w:hint="eastAsia" w:ascii="仿宋_GB2312" w:hAnsi="仿宋" w:eastAsia="仿宋_GB2312"/>
          <w:sz w:val="32"/>
          <w:szCs w:val="32"/>
        </w:rPr>
      </w:pPr>
    </w:p>
    <w:p>
      <w:pPr>
        <w:snapToGrid w:val="0"/>
        <w:ind w:firstLine="640" w:firstLineChars="200"/>
        <w:rPr>
          <w:rFonts w:hint="eastAsia" w:ascii="黑体" w:hAnsi="黑体" w:eastAsia="黑体"/>
          <w:sz w:val="32"/>
          <w:szCs w:val="32"/>
        </w:rPr>
      </w:pPr>
      <w:bookmarkStart w:id="8" w:name="YS060202"/>
      <w:r>
        <w:rPr>
          <w:rFonts w:hint="eastAsia" w:ascii="黑体" w:hAnsi="黑体" w:eastAsia="黑体"/>
          <w:sz w:val="32"/>
          <w:szCs w:val="32"/>
        </w:rPr>
        <w:t>二、事业单位财务分析指标</w:t>
      </w:r>
    </w:p>
    <w:bookmarkEnd w:id="8"/>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1.预算收入和支出完成率，衡量事业单位收入和支出总预算及分项预算完成的程度。计算公式为：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预算收入完成率＝年终执行数÷调整预算数×100%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年终执行数不含上年结转和结余收入数</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预算支出完成率＝年终执行数÷调整预算数×100%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年终执行数不含上年结转和结余支出数</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2.人员支出、公用支出占事业支出的比率，衡量事业单位事业支出结构。计算公式为：</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人员支出比率＝人员支出÷事业支出×100%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公用支出比率＝公用支出÷事业支出×100%</w:t>
      </w: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3.人均基本支出，衡量事业单位按照实际在编人数平均的基本支出水平。计算公式为：</w:t>
      </w:r>
    </w:p>
    <w:p>
      <w:pPr>
        <w:snapToGrid w:val="0"/>
        <w:ind w:firstLine="640" w:firstLineChars="200"/>
        <w:rPr>
          <w:rFonts w:hint="eastAsia" w:ascii="仿宋_GB2312" w:hAnsi="仿宋" w:eastAsia="仿宋_GB2312"/>
          <w:b/>
          <w:sz w:val="32"/>
          <w:szCs w:val="32"/>
        </w:rPr>
      </w:pPr>
      <w:r>
        <w:rPr>
          <w:rFonts w:hint="eastAsia" w:ascii="仿宋_GB2312" w:hAnsi="仿宋" w:eastAsia="仿宋_GB2312"/>
          <w:sz w:val="32"/>
          <w:szCs w:val="32"/>
        </w:rPr>
        <w:t>人均基本支出＝（基本支出-离退休人员支出）÷实际在编人数</w:t>
      </w:r>
    </w:p>
    <w:p>
      <w:pPr>
        <w:snapToGrid w:val="0"/>
        <w:ind w:firstLine="640" w:firstLineChars="200"/>
        <w:rPr>
          <w:rFonts w:hint="eastAsia" w:ascii="仿宋_GB2312" w:hAnsi="仿宋" w:eastAsia="仿宋_GB2312"/>
          <w:sz w:val="32"/>
          <w:szCs w:val="32"/>
        </w:rPr>
      </w:pPr>
    </w:p>
    <w:p>
      <w:pPr>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此外，行业事业单位还可根据相关财务制度规定和分析需要增加相关分析指标，如：</w:t>
      </w:r>
    </w:p>
    <w:p>
      <w:pPr>
        <w:ind w:firstLine="707" w:firstLineChars="221"/>
        <w:rPr>
          <w:rFonts w:hint="eastAsia" w:ascii="仿宋_GB2312" w:hAnsi="仿宋" w:eastAsia="仿宋_GB2312"/>
          <w:sz w:val="32"/>
          <w:szCs w:val="32"/>
        </w:rPr>
      </w:pPr>
      <w:r>
        <w:rPr>
          <w:rFonts w:hint="eastAsia" w:ascii="仿宋_GB2312" w:hAnsi="仿宋" w:eastAsia="仿宋_GB2312"/>
          <w:sz w:val="32"/>
          <w:szCs w:val="32"/>
        </w:rPr>
        <w:t>1.财政拨款依存度, 衡量部门（单位）对财政拨款的依赖程度。</w:t>
      </w:r>
    </w:p>
    <w:p>
      <w:pPr>
        <w:widowControl/>
        <w:ind w:firstLine="640" w:firstLineChars="200"/>
        <w:textAlignment w:val="center"/>
        <w:rPr>
          <w:rFonts w:hint="eastAsia" w:ascii="仿宋_GB2312" w:hAnsi="仿宋" w:eastAsia="仿宋_GB2312"/>
          <w:sz w:val="32"/>
          <w:szCs w:val="32"/>
        </w:rPr>
      </w:pPr>
      <w:r>
        <w:rPr>
          <w:rFonts w:hint="eastAsia" w:ascii="仿宋_GB2312" w:hAnsi="仿宋" w:eastAsia="仿宋_GB2312"/>
          <w:sz w:val="32"/>
          <w:szCs w:val="32"/>
        </w:rPr>
        <w:t>财政拨款依存度＝财政拨款收入÷收入总额×100%</w:t>
      </w:r>
    </w:p>
    <w:p>
      <w:bookmarkStart w:id="9" w:name="_GoBack"/>
      <w:bookmarkEnd w:id="9"/>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2</w:t>
    </w:r>
    <w:r>
      <w:rPr>
        <w:rFonts w:ascii="Arial" w:hAnsi="Arial" w:cs="Arial"/>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01015A"/>
    <w:rsid w:val="4C57708C"/>
    <w:rsid w:val="71A7750B"/>
    <w:rsid w:val="7D76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Lucky lucky</cp:lastModifiedBy>
  <dcterms:modified xsi:type="dcterms:W3CDTF">2021-12-20T01:55:53Z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080501109CF74054961C464601E58E6C</vt:lpwstr>
  </property>
</Properties>
</file>