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3A775">
      <w:pPr>
        <w:jc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cs="宋体"/>
          <w:b/>
          <w:bCs/>
          <w:i w:val="0"/>
          <w:iCs w:val="0"/>
          <w:color w:val="000000"/>
          <w:kern w:val="0"/>
          <w:sz w:val="44"/>
          <w:szCs w:val="44"/>
          <w:u w:val="none"/>
          <w:lang w:val="en-US" w:eastAsia="zh-CN" w:bidi="ar"/>
        </w:rPr>
        <w:t>抚远</w:t>
      </w:r>
      <w:r>
        <w:rPr>
          <w:rFonts w:hint="eastAsia" w:ascii="宋体" w:hAnsi="宋体" w:eastAsia="宋体" w:cs="宋体"/>
          <w:b/>
          <w:bCs/>
          <w:i w:val="0"/>
          <w:iCs w:val="0"/>
          <w:color w:val="000000"/>
          <w:kern w:val="0"/>
          <w:sz w:val="44"/>
          <w:szCs w:val="44"/>
          <w:u w:val="none"/>
          <w:lang w:val="en-US" w:eastAsia="zh-CN" w:bidi="ar"/>
        </w:rPr>
        <w:t>市行政裁决事项明细表</w:t>
      </w:r>
    </w:p>
    <w:p w14:paraId="7EA0D98B">
      <w:pPr>
        <w:jc w:val="center"/>
        <w:rPr>
          <w:rFonts w:hint="eastAsia" w:ascii="宋体" w:hAnsi="宋体" w:eastAsia="宋体" w:cs="宋体"/>
          <w:b/>
          <w:bCs/>
          <w:i w:val="0"/>
          <w:iCs w:val="0"/>
          <w:color w:val="000000"/>
          <w:kern w:val="0"/>
          <w:sz w:val="44"/>
          <w:szCs w:val="44"/>
          <w:u w:val="none"/>
          <w:lang w:val="en-US" w:eastAsia="zh-CN" w:bidi="ar"/>
        </w:rPr>
      </w:pPr>
    </w:p>
    <w:tbl>
      <w:tblPr>
        <w:tblStyle w:val="4"/>
        <w:tblpPr w:leftFromText="180" w:rightFromText="180" w:vertAnchor="page" w:horzAnchor="page" w:tblpX="1431" w:tblpY="36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175"/>
        <w:gridCol w:w="1407"/>
        <w:gridCol w:w="1468"/>
        <w:gridCol w:w="1656"/>
        <w:gridCol w:w="1602"/>
        <w:gridCol w:w="6338"/>
      </w:tblGrid>
      <w:tr w14:paraId="2B3F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CA626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序号</w:t>
            </w:r>
          </w:p>
        </w:tc>
        <w:tc>
          <w:tcPr>
            <w:tcW w:w="1183" w:type="dxa"/>
            <w:vAlign w:val="center"/>
          </w:tcPr>
          <w:p w14:paraId="42FAABE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事项名称</w:t>
            </w:r>
          </w:p>
        </w:tc>
        <w:tc>
          <w:tcPr>
            <w:tcW w:w="1417" w:type="dxa"/>
            <w:vAlign w:val="center"/>
          </w:tcPr>
          <w:p w14:paraId="4E79E3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实施主体</w:t>
            </w:r>
          </w:p>
        </w:tc>
        <w:tc>
          <w:tcPr>
            <w:tcW w:w="1483" w:type="dxa"/>
            <w:vAlign w:val="center"/>
          </w:tcPr>
          <w:p w14:paraId="0C5CDB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责任科室</w:t>
            </w:r>
          </w:p>
        </w:tc>
        <w:tc>
          <w:tcPr>
            <w:tcW w:w="1476" w:type="dxa"/>
            <w:vAlign w:val="center"/>
          </w:tcPr>
          <w:p w14:paraId="7BCD6A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联系方式</w:t>
            </w:r>
          </w:p>
        </w:tc>
        <w:tc>
          <w:tcPr>
            <w:tcW w:w="1617" w:type="dxa"/>
            <w:vAlign w:val="center"/>
          </w:tcPr>
          <w:p w14:paraId="5F5D3A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具体地址</w:t>
            </w:r>
          </w:p>
        </w:tc>
        <w:tc>
          <w:tcPr>
            <w:tcW w:w="6417" w:type="dxa"/>
            <w:vAlign w:val="center"/>
          </w:tcPr>
          <w:p w14:paraId="7C34BB8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法律依据</w:t>
            </w:r>
          </w:p>
        </w:tc>
      </w:tr>
      <w:tr w14:paraId="77A4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29" w:type="dxa"/>
            <w:vAlign w:val="center"/>
          </w:tcPr>
          <w:p w14:paraId="07274FE5">
            <w:pPr>
              <w:spacing w:line="256" w:lineRule="auto"/>
              <w:jc w:val="center"/>
              <w:rPr>
                <w:rFonts w:hint="eastAsia" w:asciiTheme="minorEastAsia" w:hAnsiTheme="minorEastAsia" w:eastAsiaTheme="minorEastAsia" w:cstheme="minorEastAsia"/>
                <w:sz w:val="21"/>
              </w:rPr>
            </w:pPr>
          </w:p>
          <w:p w14:paraId="15523DFB">
            <w:pPr>
              <w:spacing w:before="56" w:line="184" w:lineRule="auto"/>
              <w:ind w:left="134" w:leftChars="0"/>
              <w:jc w:val="center"/>
              <w:rPr>
                <w:rFonts w:hint="default" w:asciiTheme="minorEastAsia" w:hAnsiTheme="minorEastAsia" w:eastAsiaTheme="minorEastAsia" w:cstheme="minorEastAsia"/>
                <w:kern w:val="2"/>
                <w:sz w:val="17"/>
                <w:szCs w:val="17"/>
                <w:lang w:val="en-US" w:eastAsia="zh-CN" w:bidi="ar-SA"/>
              </w:rPr>
            </w:pPr>
            <w:r>
              <w:rPr>
                <w:rFonts w:hint="eastAsia" w:asciiTheme="minorEastAsia" w:hAnsiTheme="minorEastAsia" w:eastAsiaTheme="minorEastAsia" w:cstheme="minorEastAsia"/>
                <w:sz w:val="17"/>
                <w:szCs w:val="17"/>
              </w:rPr>
              <w:t>1</w:t>
            </w:r>
          </w:p>
        </w:tc>
        <w:tc>
          <w:tcPr>
            <w:tcW w:w="1183" w:type="dxa"/>
            <w:vAlign w:val="center"/>
          </w:tcPr>
          <w:p w14:paraId="6CD82748">
            <w:pPr>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对客运经营者在发车时间安排上发生纠纷，客运站经营者协调无效的裁决</w:t>
            </w:r>
          </w:p>
        </w:tc>
        <w:tc>
          <w:tcPr>
            <w:tcW w:w="1417" w:type="dxa"/>
            <w:vAlign w:val="center"/>
          </w:tcPr>
          <w:p w14:paraId="65A86A35">
            <w:pPr>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抚远市交通运输综合行政执法大队</w:t>
            </w:r>
          </w:p>
        </w:tc>
        <w:tc>
          <w:tcPr>
            <w:tcW w:w="1483" w:type="dxa"/>
            <w:vAlign w:val="center"/>
          </w:tcPr>
          <w:p w14:paraId="11F02A67">
            <w:pPr>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抚远市交通运输综合行政执法大队政策法规</w:t>
            </w:r>
            <w:r>
              <w:rPr>
                <w:rFonts w:hint="eastAsia" w:asciiTheme="minorEastAsia" w:hAnsiTheme="minorEastAsia" w:eastAsiaTheme="minorEastAsia" w:cstheme="minorEastAsia"/>
                <w:sz w:val="20"/>
                <w:szCs w:val="20"/>
              </w:rPr>
              <w:t xml:space="preserve">  </w:t>
            </w:r>
          </w:p>
        </w:tc>
        <w:tc>
          <w:tcPr>
            <w:tcW w:w="1476" w:type="dxa"/>
            <w:vAlign w:val="center"/>
          </w:tcPr>
          <w:p w14:paraId="1F35B1CE">
            <w:pPr>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139464836-9</w:t>
            </w:r>
          </w:p>
        </w:tc>
        <w:tc>
          <w:tcPr>
            <w:tcW w:w="1617" w:type="dxa"/>
            <w:vAlign w:val="center"/>
          </w:tcPr>
          <w:p w14:paraId="6F2AC162">
            <w:pPr>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抚远市平安街250号</w:t>
            </w:r>
          </w:p>
        </w:tc>
        <w:tc>
          <w:tcPr>
            <w:tcW w:w="6417" w:type="dxa"/>
            <w:vAlign w:val="center"/>
          </w:tcPr>
          <w:p w14:paraId="3F5E0F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一、《中华人民共和国道路运输条例》第四十一条 道路旅客运输站（场）经营者应当为客运经营者合理安排班次，公布其运输线路、起止经停站点、运输班次、始发时间、票价，调度车辆进站、发车，疏导旅客，维持上下车秩序。道路旅客运输站（场）经营者应当设置旅客购票、候车、行李寄存和托运等服务设施，按照车辆核定载客限额售票，并采取措施防止携带危险品的人员进站乘车。</w:t>
            </w:r>
          </w:p>
          <w:p w14:paraId="7F79F2E3">
            <w:pPr>
              <w:jc w:val="both"/>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二、《道路旅客运输及客运站管理规定》第七十四条 客运站经营者应当禁止无证经营的车辆进站从事经营活动，无正当理由不得拒绝合法客运车辆进站经营。客运站经营者应当坚持公平、公正原则，合理安排发车时间，公平售票。客运经营者在发车时间安排上发生纠纷，客运站经营者协调无效时，由当地县级以上道路运输管理机构裁定。</w:t>
            </w:r>
          </w:p>
        </w:tc>
      </w:tr>
      <w:tr w14:paraId="5BA2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29" w:type="dxa"/>
            <w:vAlign w:val="center"/>
          </w:tcPr>
          <w:p w14:paraId="3C85665C">
            <w:pPr>
              <w:keepNext w:val="0"/>
              <w:keepLines w:val="0"/>
              <w:widowControl/>
              <w:suppressLineNumbers w:val="0"/>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2</w:t>
            </w:r>
          </w:p>
        </w:tc>
        <w:tc>
          <w:tcPr>
            <w:tcW w:w="1183" w:type="dxa"/>
            <w:vAlign w:val="center"/>
          </w:tcPr>
          <w:p w14:paraId="0263C3B1">
            <w:pPr>
              <w:keepNext w:val="0"/>
              <w:keepLines w:val="0"/>
              <w:widowControl/>
              <w:suppressLineNumbers w:val="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水事纠纷裁决</w:t>
            </w:r>
          </w:p>
        </w:tc>
        <w:tc>
          <w:tcPr>
            <w:tcW w:w="1417" w:type="dxa"/>
            <w:vAlign w:val="center"/>
          </w:tcPr>
          <w:p w14:paraId="043DE1DE">
            <w:pPr>
              <w:keepNext w:val="0"/>
              <w:keepLines w:val="0"/>
              <w:widowControl/>
              <w:suppressLineNumbers w:val="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抚远市水务局</w:t>
            </w:r>
          </w:p>
        </w:tc>
        <w:tc>
          <w:tcPr>
            <w:tcW w:w="1483" w:type="dxa"/>
            <w:vAlign w:val="center"/>
          </w:tcPr>
          <w:p w14:paraId="6EFF824D">
            <w:pPr>
              <w:keepNext w:val="0"/>
              <w:keepLines w:val="0"/>
              <w:widowControl/>
              <w:suppressLineNumbers w:val="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 xml:space="preserve"> 政策法规科</w:t>
            </w:r>
          </w:p>
        </w:tc>
        <w:tc>
          <w:tcPr>
            <w:tcW w:w="1476" w:type="dxa"/>
            <w:vAlign w:val="center"/>
          </w:tcPr>
          <w:p w14:paraId="759619D8">
            <w:pPr>
              <w:keepNext w:val="0"/>
              <w:keepLines w:val="0"/>
              <w:widowControl/>
              <w:suppressLineNumbers w:val="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18745436390</w:t>
            </w:r>
          </w:p>
        </w:tc>
        <w:tc>
          <w:tcPr>
            <w:tcW w:w="1617" w:type="dxa"/>
            <w:vAlign w:val="center"/>
          </w:tcPr>
          <w:p w14:paraId="564D9ADF">
            <w:pPr>
              <w:keepNext w:val="0"/>
              <w:keepLines w:val="0"/>
              <w:widowControl/>
              <w:suppressLineNumbers w:val="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抚远市水务局</w:t>
            </w:r>
          </w:p>
        </w:tc>
        <w:tc>
          <w:tcPr>
            <w:tcW w:w="6417" w:type="dxa"/>
            <w:vAlign w:val="center"/>
          </w:tcPr>
          <w:p w14:paraId="01CAC438">
            <w:pPr>
              <w:keepNext w:val="0"/>
              <w:keepLines w:val="0"/>
              <w:widowControl/>
              <w:suppressLineNumbers w:val="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一、《中华人民共和国水法》（2016年07月02日修正）第十二条第四款 县级以上地方人民政府水行政主管部门按照规定的权限，负责本行政区域内水资源的统一管理和监督工作。第五十六条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第五十七条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在水事纠纷解决前，当事人不得单方面改变现状。</w:t>
            </w:r>
          </w:p>
          <w:p w14:paraId="303E507D">
            <w:pPr>
              <w:keepNext w:val="0"/>
              <w:keepLines w:val="0"/>
              <w:widowControl/>
              <w:suppressLineNumbers w:val="0"/>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二、《中华人民共和国水土保持法》（2010年12月25日修订）第五条第三款 县级以上地方人民政府水行政主管部门主管本行政区域的水土保持工作。第四十六条 不同行政区域之间发生水土流失纠纷应当协商解决；协商不成的，由共同的上一级人民政府裁决。</w:t>
            </w:r>
          </w:p>
          <w:p w14:paraId="4E904072">
            <w:pPr>
              <w:keepNext w:val="0"/>
              <w:keepLines w:val="0"/>
              <w:widowControl/>
              <w:suppressLineNumbers w:val="0"/>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三、《黑龙江省农田水利条例》（2018年6月28日修订）第三十七条 农田灌排水事纠纷，应当协商解决；当事人不愿协商或者协商不成的，可以申请人民政府或者水行政主管部门调解处理，也可以直接向人民法院提起民事诉讼。不同行政区域之间发生的农田灌排水事纠纷，应当协商处理；协商不成的，由共同的上一级人民政府裁决。</w:t>
            </w:r>
          </w:p>
        </w:tc>
      </w:tr>
      <w:tr w14:paraId="1A62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29" w:type="dxa"/>
            <w:vAlign w:val="center"/>
          </w:tcPr>
          <w:p w14:paraId="0E50C69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183" w:type="dxa"/>
            <w:vAlign w:val="center"/>
          </w:tcPr>
          <w:p w14:paraId="1FF46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对企业名称争议的裁决</w:t>
            </w:r>
          </w:p>
        </w:tc>
        <w:tc>
          <w:tcPr>
            <w:tcW w:w="1417" w:type="dxa"/>
            <w:vAlign w:val="center"/>
          </w:tcPr>
          <w:p w14:paraId="4F593C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抚远</w:t>
            </w:r>
            <w:r>
              <w:rPr>
                <w:rFonts w:hint="eastAsia" w:ascii="宋体" w:hAnsi="宋体" w:eastAsia="宋体" w:cs="宋体"/>
                <w:i w:val="0"/>
                <w:iCs w:val="0"/>
                <w:color w:val="000000"/>
                <w:kern w:val="0"/>
                <w:sz w:val="21"/>
                <w:szCs w:val="21"/>
                <w:u w:val="none"/>
                <w:lang w:val="en-US" w:eastAsia="zh-CN" w:bidi="ar"/>
              </w:rPr>
              <w:t>市</w:t>
            </w:r>
            <w:r>
              <w:rPr>
                <w:rFonts w:hint="eastAsia" w:ascii="宋体" w:hAnsi="宋体" w:cs="宋体"/>
                <w:i w:val="0"/>
                <w:iCs w:val="0"/>
                <w:color w:val="000000"/>
                <w:kern w:val="0"/>
                <w:sz w:val="21"/>
                <w:szCs w:val="21"/>
                <w:u w:val="none"/>
                <w:lang w:val="en-US" w:eastAsia="zh-CN" w:bidi="ar"/>
              </w:rPr>
              <w:t>市</w:t>
            </w:r>
            <w:r>
              <w:rPr>
                <w:rFonts w:hint="eastAsia" w:ascii="宋体" w:hAnsi="宋体" w:eastAsia="宋体" w:cs="宋体"/>
                <w:i w:val="0"/>
                <w:iCs w:val="0"/>
                <w:color w:val="000000"/>
                <w:kern w:val="0"/>
                <w:sz w:val="21"/>
                <w:szCs w:val="21"/>
                <w:u w:val="none"/>
                <w:lang w:val="en-US" w:eastAsia="zh-CN" w:bidi="ar"/>
              </w:rPr>
              <w:t>场监督管理局</w:t>
            </w:r>
          </w:p>
        </w:tc>
        <w:tc>
          <w:tcPr>
            <w:tcW w:w="1483" w:type="dxa"/>
            <w:vAlign w:val="center"/>
          </w:tcPr>
          <w:p w14:paraId="24EFF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法规科</w:t>
            </w:r>
          </w:p>
        </w:tc>
        <w:tc>
          <w:tcPr>
            <w:tcW w:w="1476" w:type="dxa"/>
            <w:vAlign w:val="center"/>
          </w:tcPr>
          <w:p w14:paraId="2F5D4C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2189313</w:t>
            </w:r>
          </w:p>
        </w:tc>
        <w:tc>
          <w:tcPr>
            <w:tcW w:w="1617" w:type="dxa"/>
            <w:vAlign w:val="center"/>
          </w:tcPr>
          <w:p w14:paraId="1A850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抚远市长江路中段</w:t>
            </w:r>
          </w:p>
        </w:tc>
        <w:tc>
          <w:tcPr>
            <w:tcW w:w="6417" w:type="dxa"/>
            <w:vAlign w:val="center"/>
          </w:tcPr>
          <w:p w14:paraId="436A81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一、《企业名称登记管理规定》（</w:t>
            </w:r>
            <w:r>
              <w:rPr>
                <w:rFonts w:hint="eastAsia" w:ascii="宋体" w:hAnsi="宋体" w:cs="宋体"/>
                <w:i w:val="0"/>
                <w:iCs w:val="0"/>
                <w:color w:val="000000"/>
                <w:kern w:val="0"/>
                <w:sz w:val="21"/>
                <w:szCs w:val="21"/>
                <w:u w:val="none"/>
                <w:lang w:val="en-US" w:eastAsia="zh-CN" w:bidi="ar"/>
              </w:rPr>
              <w:t>2020</w:t>
            </w:r>
            <w:r>
              <w:rPr>
                <w:rFonts w:hint="eastAsia" w:ascii="宋体" w:hAnsi="宋体" w:eastAsia="宋体" w:cs="宋体"/>
                <w:i w:val="0"/>
                <w:iCs w:val="0"/>
                <w:color w:val="000000"/>
                <w:kern w:val="0"/>
                <w:sz w:val="21"/>
                <w:szCs w:val="21"/>
                <w:u w:val="none"/>
                <w:lang w:val="en-US" w:eastAsia="zh-CN" w:bidi="ar"/>
              </w:rPr>
              <w:t>年</w:t>
            </w:r>
            <w:r>
              <w:rPr>
                <w:rFonts w:hint="eastAsia" w:ascii="宋体" w:hAnsi="宋体" w:cs="宋体"/>
                <w:i w:val="0"/>
                <w:iCs w:val="0"/>
                <w:color w:val="000000"/>
                <w:kern w:val="0"/>
                <w:sz w:val="21"/>
                <w:szCs w:val="21"/>
                <w:u w:val="none"/>
                <w:lang w:val="en-US" w:eastAsia="zh-CN" w:bidi="ar"/>
              </w:rPr>
              <w:t>12</w:t>
            </w:r>
            <w:r>
              <w:rPr>
                <w:rFonts w:hint="eastAsia" w:ascii="宋体" w:hAnsi="宋体" w:eastAsia="宋体" w:cs="宋体"/>
                <w:i w:val="0"/>
                <w:iCs w:val="0"/>
                <w:color w:val="000000"/>
                <w:kern w:val="0"/>
                <w:sz w:val="21"/>
                <w:szCs w:val="21"/>
                <w:u w:val="none"/>
                <w:lang w:val="en-US" w:eastAsia="zh-CN" w:bidi="ar"/>
              </w:rPr>
              <w:t>月</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日修订，国务院令第</w:t>
            </w:r>
            <w:r>
              <w:rPr>
                <w:rFonts w:hint="eastAsia" w:ascii="宋体" w:hAnsi="宋体" w:cs="宋体"/>
                <w:i w:val="0"/>
                <w:iCs w:val="0"/>
                <w:color w:val="000000"/>
                <w:kern w:val="0"/>
                <w:sz w:val="21"/>
                <w:szCs w:val="21"/>
                <w:u w:val="none"/>
                <w:lang w:val="en-US" w:eastAsia="zh-CN" w:bidi="ar"/>
              </w:rPr>
              <w:t>734</w:t>
            </w:r>
            <w:r>
              <w:rPr>
                <w:rFonts w:hint="eastAsia" w:ascii="宋体" w:hAnsi="宋体" w:eastAsia="宋体" w:cs="宋体"/>
                <w:i w:val="0"/>
                <w:iCs w:val="0"/>
                <w:color w:val="000000"/>
                <w:kern w:val="0"/>
                <w:sz w:val="21"/>
                <w:szCs w:val="21"/>
                <w:u w:val="none"/>
                <w:lang w:val="en-US" w:eastAsia="zh-CN" w:bidi="ar"/>
              </w:rPr>
              <w:t xml:space="preserve">号） </w:t>
            </w:r>
          </w:p>
          <w:p w14:paraId="55A19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宋体" w:hAnsi="宋体" w:eastAsia="宋体" w:cs="宋体"/>
                <w:i w:val="0"/>
                <w:caps w:val="0"/>
                <w:color w:val="040404"/>
                <w:spacing w:val="0"/>
                <w:sz w:val="21"/>
                <w:szCs w:val="21"/>
              </w:rPr>
            </w:pPr>
            <w:r>
              <w:rPr>
                <w:rFonts w:hint="eastAsia" w:ascii="宋体" w:hAnsi="宋体" w:eastAsia="宋体" w:cs="宋体"/>
                <w:i w:val="0"/>
                <w:iCs w:val="0"/>
                <w:color w:val="000000"/>
                <w:kern w:val="0"/>
                <w:sz w:val="21"/>
                <w:szCs w:val="21"/>
                <w:u w:val="none"/>
                <w:lang w:val="en-US" w:eastAsia="zh-CN" w:bidi="ar"/>
              </w:rPr>
              <w:t>第二十</w:t>
            </w:r>
            <w:r>
              <w:rPr>
                <w:rFonts w:hint="eastAsia" w:ascii="宋体" w:hAnsi="宋体"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条　</w:t>
            </w:r>
            <w:r>
              <w:rPr>
                <w:rFonts w:hint="eastAsia" w:ascii="宋体" w:hAnsi="宋体" w:eastAsia="宋体" w:cs="宋体"/>
                <w:i w:val="0"/>
                <w:caps w:val="0"/>
                <w:color w:val="040404"/>
                <w:spacing w:val="0"/>
                <w:sz w:val="21"/>
                <w:szCs w:val="21"/>
                <w:shd w:val="clear" w:fill="FFFFFF"/>
              </w:rPr>
              <w:t>　企业认为其他企业名称侵犯本企业名称合法权益的，可以向人民法院起诉或者请求为涉嫌侵权企业办理登记的企业登记机关处理。</w:t>
            </w:r>
          </w:p>
          <w:p w14:paraId="2C7E8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宋体" w:hAnsi="宋体" w:eastAsia="宋体" w:cs="宋体"/>
                <w:i w:val="0"/>
                <w:caps w:val="0"/>
                <w:color w:val="040404"/>
                <w:spacing w:val="0"/>
                <w:sz w:val="21"/>
                <w:szCs w:val="21"/>
              </w:rPr>
            </w:pPr>
            <w:r>
              <w:rPr>
                <w:rFonts w:hint="eastAsia" w:ascii="宋体" w:hAnsi="宋体" w:eastAsia="宋体" w:cs="宋体"/>
                <w:i w:val="0"/>
                <w:caps w:val="0"/>
                <w:color w:val="040404"/>
                <w:spacing w:val="0"/>
                <w:sz w:val="21"/>
                <w:szCs w:val="21"/>
                <w:shd w:val="clear" w:fill="FFFFFF"/>
              </w:rPr>
              <w:t>　　企业登记机关受理申请后，可以进行调解；调解不成的，企业登记机关应当自受理之日起3个月内作出行政裁决。</w:t>
            </w:r>
          </w:p>
          <w:p w14:paraId="67762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val="0"/>
                <w:bCs/>
                <w:i w:val="0"/>
                <w:caps w:val="0"/>
                <w:color w:val="333333"/>
                <w:spacing w:val="0"/>
                <w:sz w:val="21"/>
                <w:szCs w:val="21"/>
              </w:rPr>
            </w:pPr>
            <w:r>
              <w:rPr>
                <w:rFonts w:hint="eastAsia" w:ascii="宋体" w:hAnsi="宋体" w:eastAsia="宋体" w:cs="宋体"/>
                <w:i w:val="0"/>
                <w:iCs w:val="0"/>
                <w:color w:val="000000"/>
                <w:kern w:val="0"/>
                <w:sz w:val="21"/>
                <w:szCs w:val="21"/>
                <w:u w:val="none"/>
                <w:lang w:val="en-US" w:eastAsia="zh-CN" w:bidi="ar"/>
              </w:rPr>
              <w:t>二、《企业名称登记管理实施办法》</w:t>
            </w:r>
            <w:r>
              <w:rPr>
                <w:rStyle w:val="6"/>
                <w:rFonts w:hint="eastAsia" w:ascii="宋体" w:hAnsi="宋体" w:eastAsia="宋体" w:cs="宋体"/>
                <w:b w:val="0"/>
                <w:bCs/>
                <w:i w:val="0"/>
                <w:caps w:val="0"/>
                <w:color w:val="333333"/>
                <w:spacing w:val="0"/>
                <w:sz w:val="21"/>
                <w:szCs w:val="21"/>
                <w:shd w:val="clear" w:fill="FFFFFF"/>
              </w:rPr>
              <w:t>国家市场监督管理总局令</w:t>
            </w:r>
          </w:p>
          <w:p w14:paraId="7A932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第　82　号</w:t>
            </w:r>
          </w:p>
          <w:p w14:paraId="66FC657B">
            <w:pPr>
              <w:keepNext w:val="0"/>
              <w:keepLines w:val="0"/>
              <w:widowControl/>
              <w:suppressLineNumbers w:val="0"/>
              <w:jc w:val="left"/>
              <w:textAlignment w:val="center"/>
              <w:rPr>
                <w:rFonts w:hint="eastAsia" w:ascii="宋体" w:hAnsi="宋体" w:eastAsia="宋体" w:cs="宋体"/>
                <w:b w:val="0"/>
                <w:bCs/>
                <w:i w:val="0"/>
                <w:caps w:val="0"/>
                <w:color w:val="333333"/>
                <w:spacing w:val="0"/>
                <w:sz w:val="21"/>
                <w:szCs w:val="21"/>
                <w:shd w:val="clear" w:fill="FFFFFF"/>
              </w:rPr>
            </w:pPr>
            <w:r>
              <w:rPr>
                <w:rStyle w:val="6"/>
                <w:rFonts w:hint="eastAsia" w:ascii="宋体" w:hAnsi="宋体" w:eastAsia="宋体" w:cs="宋体"/>
                <w:b w:val="0"/>
                <w:bCs/>
                <w:i w:val="0"/>
                <w:caps w:val="0"/>
                <w:color w:val="333333"/>
                <w:spacing w:val="0"/>
                <w:sz w:val="21"/>
                <w:szCs w:val="21"/>
                <w:shd w:val="clear" w:fill="FFFFFF"/>
              </w:rPr>
              <w:t>第三十四条</w:t>
            </w:r>
            <w:r>
              <w:rPr>
                <w:rFonts w:hint="eastAsia" w:ascii="宋体" w:hAnsi="宋体" w:eastAsia="宋体" w:cs="宋体"/>
                <w:b w:val="0"/>
                <w:bCs/>
                <w:i w:val="0"/>
                <w:caps w:val="0"/>
                <w:color w:val="333333"/>
                <w:spacing w:val="0"/>
                <w:sz w:val="21"/>
                <w:szCs w:val="21"/>
                <w:shd w:val="clear" w:fill="FFFFFF"/>
              </w:rPr>
              <w:t>　企业认为其他企业名称侵犯本企业名称合法权益的，可以向人民法院起诉或者请求为涉嫌侵权企业办理登记的企业登记机关处理。</w:t>
            </w:r>
          </w:p>
          <w:p w14:paraId="7951A52E">
            <w:pPr>
              <w:keepNext w:val="0"/>
              <w:keepLines w:val="0"/>
              <w:widowControl/>
              <w:suppressLineNumbers w:val="0"/>
              <w:jc w:val="left"/>
              <w:textAlignment w:val="center"/>
              <w:rPr>
                <w:rFonts w:hint="eastAsia" w:ascii="宋体" w:hAnsi="宋体" w:eastAsia="宋体" w:cs="宋体"/>
                <w:b w:val="0"/>
                <w:bCs/>
                <w:i w:val="0"/>
                <w:caps w:val="0"/>
                <w:color w:val="333333"/>
                <w:spacing w:val="0"/>
                <w:kern w:val="2"/>
                <w:sz w:val="21"/>
                <w:szCs w:val="21"/>
                <w:shd w:val="clear" w:fill="FFFFFF"/>
                <w:lang w:val="en-US" w:eastAsia="zh-CN" w:bidi="ar-SA"/>
              </w:rPr>
            </w:pPr>
            <w:r>
              <w:rPr>
                <w:rStyle w:val="6"/>
                <w:rFonts w:hint="eastAsia" w:ascii="宋体" w:hAnsi="宋体" w:eastAsia="宋体" w:cs="宋体"/>
                <w:b w:val="0"/>
                <w:bCs/>
                <w:i w:val="0"/>
                <w:caps w:val="0"/>
                <w:color w:val="333333"/>
                <w:spacing w:val="0"/>
                <w:sz w:val="21"/>
                <w:szCs w:val="21"/>
                <w:shd w:val="clear" w:fill="FFFFFF"/>
              </w:rPr>
              <w:t>第三十五条</w:t>
            </w:r>
            <w:r>
              <w:rPr>
                <w:rFonts w:hint="eastAsia" w:ascii="宋体" w:hAnsi="宋体" w:eastAsia="宋体" w:cs="宋体"/>
                <w:b w:val="0"/>
                <w:bCs/>
                <w:i w:val="0"/>
                <w:caps w:val="0"/>
                <w:color w:val="333333"/>
                <w:spacing w:val="0"/>
                <w:sz w:val="21"/>
                <w:szCs w:val="21"/>
                <w:shd w:val="clear" w:fill="FFFFFF"/>
              </w:rPr>
              <w:t>　企业登记机关负责企业名称争议裁决工作，应当根据工作需要依法配备符合条件的裁决人员，为企业名称争议裁决提供保障。</w:t>
            </w:r>
          </w:p>
        </w:tc>
      </w:tr>
      <w:tr w14:paraId="59C0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29" w:type="dxa"/>
            <w:vAlign w:val="center"/>
          </w:tcPr>
          <w:p w14:paraId="4B5BC8D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4</w:t>
            </w:r>
          </w:p>
        </w:tc>
        <w:tc>
          <w:tcPr>
            <w:tcW w:w="1183" w:type="dxa"/>
            <w:vAlign w:val="center"/>
          </w:tcPr>
          <w:p w14:paraId="183FEF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医疗机构名称裁定</w:t>
            </w:r>
          </w:p>
        </w:tc>
        <w:tc>
          <w:tcPr>
            <w:tcW w:w="1417" w:type="dxa"/>
            <w:vAlign w:val="center"/>
          </w:tcPr>
          <w:p w14:paraId="0BE5E7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抚远市卫生健康局</w:t>
            </w:r>
          </w:p>
        </w:tc>
        <w:tc>
          <w:tcPr>
            <w:tcW w:w="1483" w:type="dxa"/>
            <w:vAlign w:val="center"/>
          </w:tcPr>
          <w:p w14:paraId="5B188E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医政科</w:t>
            </w:r>
          </w:p>
        </w:tc>
        <w:tc>
          <w:tcPr>
            <w:tcW w:w="1476" w:type="dxa"/>
            <w:vAlign w:val="center"/>
          </w:tcPr>
          <w:p w14:paraId="7F51A6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0454-2133099</w:t>
            </w:r>
          </w:p>
        </w:tc>
        <w:tc>
          <w:tcPr>
            <w:tcW w:w="1617" w:type="dxa"/>
            <w:vAlign w:val="center"/>
          </w:tcPr>
          <w:p w14:paraId="4F7C98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抚远市长江路西段卫生大厦四楼</w:t>
            </w:r>
          </w:p>
        </w:tc>
        <w:tc>
          <w:tcPr>
            <w:tcW w:w="6417" w:type="dxa"/>
            <w:vAlign w:val="center"/>
          </w:tcPr>
          <w:p w14:paraId="26E9540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《医疗机构管理条例实施细则》（卫生部令1994年第35号，2017年2月21日修正）第四十九条 两个以上申请人向同一核准机关申请相同的医疗机构名称，核准机关依照申请在先原则核定。属于同一天申请的，应当由申请人双方协商解决；协商不成的，由核准机关作出裁决。 两个以上医疗机构因已经核准登记的医疗机构名称相同发生争议时，核准机关依照登记在先原则处理。属于同一天登记的，应当由双方协商解决；协商不成的，由核准机关报上一级卫生计生行政部门作出裁决。</w:t>
            </w:r>
          </w:p>
        </w:tc>
      </w:tr>
      <w:tr w14:paraId="250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29" w:type="dxa"/>
            <w:vAlign w:val="center"/>
          </w:tcPr>
          <w:p w14:paraId="6CDD142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183" w:type="dxa"/>
            <w:vAlign w:val="center"/>
          </w:tcPr>
          <w:p w14:paraId="10D1A5C6">
            <w:pPr>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rPr>
              <w:t>权限内土地权属争议裁决</w:t>
            </w:r>
          </w:p>
        </w:tc>
        <w:tc>
          <w:tcPr>
            <w:tcW w:w="1417" w:type="dxa"/>
            <w:vAlign w:val="center"/>
          </w:tcPr>
          <w:p w14:paraId="3881E342">
            <w:pPr>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rPr>
              <w:t>抚远市人民政府（抚远市自然资源局承办）</w:t>
            </w:r>
          </w:p>
        </w:tc>
        <w:tc>
          <w:tcPr>
            <w:tcW w:w="1483" w:type="dxa"/>
            <w:vAlign w:val="center"/>
          </w:tcPr>
          <w:p w14:paraId="17B9B6AC">
            <w:pPr>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rPr>
              <w:t>执法监察局</w:t>
            </w:r>
          </w:p>
        </w:tc>
        <w:tc>
          <w:tcPr>
            <w:tcW w:w="1476" w:type="dxa"/>
            <w:vAlign w:val="center"/>
          </w:tcPr>
          <w:p w14:paraId="61EB953B">
            <w:pPr>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rPr>
              <w:t>0454-2133775</w:t>
            </w:r>
          </w:p>
        </w:tc>
        <w:tc>
          <w:tcPr>
            <w:tcW w:w="1617" w:type="dxa"/>
            <w:vAlign w:val="center"/>
          </w:tcPr>
          <w:p w14:paraId="230EFE72">
            <w:pPr>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rPr>
              <w:t>抚远镇迎宾路164号</w:t>
            </w:r>
          </w:p>
        </w:tc>
        <w:tc>
          <w:tcPr>
            <w:tcW w:w="6417" w:type="dxa"/>
            <w:vAlign w:val="top"/>
          </w:tcPr>
          <w:p w14:paraId="4CC87CEC">
            <w:pPr>
              <w:jc w:val="left"/>
              <w:rPr>
                <w:rFonts w:hint="eastAsia" w:ascii="仿宋_GB2312" w:eastAsia="仿宋_GB2312"/>
                <w:sz w:val="24"/>
                <w:szCs w:val="24"/>
              </w:rPr>
            </w:pPr>
            <w:r>
              <w:rPr>
                <w:rFonts w:hint="eastAsia" w:ascii="仿宋_GB2312" w:eastAsia="仿宋_GB2312"/>
                <w:sz w:val="24"/>
                <w:szCs w:val="24"/>
              </w:rPr>
              <w:t>一、《中华人民共和国土地管理法》（2019年8月26日修订）</w:t>
            </w:r>
          </w:p>
          <w:p w14:paraId="2FA1ABDB">
            <w:pPr>
              <w:jc w:val="left"/>
              <w:rPr>
                <w:rFonts w:hint="eastAsia" w:ascii="仿宋_GB2312" w:eastAsia="仿宋_GB2312"/>
                <w:sz w:val="24"/>
                <w:szCs w:val="24"/>
              </w:rPr>
            </w:pPr>
            <w:r>
              <w:rPr>
                <w:rFonts w:hint="eastAsia" w:ascii="仿宋_GB2312" w:eastAsia="仿宋_GB2312"/>
                <w:sz w:val="24"/>
                <w:szCs w:val="24"/>
              </w:rPr>
              <w:t>二、《黑龙江省土地管理条例》（2018年6月28日修正）</w:t>
            </w:r>
          </w:p>
          <w:p w14:paraId="436C2A68">
            <w:pPr>
              <w:jc w:val="left"/>
              <w:rPr>
                <w:rFonts w:hint="eastAsia" w:ascii="仿宋_GB2312" w:eastAsia="仿宋_GB2312"/>
                <w:sz w:val="24"/>
                <w:szCs w:val="24"/>
              </w:rPr>
            </w:pPr>
            <w:r>
              <w:rPr>
                <w:rFonts w:hint="eastAsia" w:ascii="仿宋_GB2312" w:eastAsia="仿宋_GB2312"/>
                <w:sz w:val="24"/>
                <w:szCs w:val="24"/>
              </w:rPr>
              <w:t>三、《黑龙江省土地权属争议处理办法》（2016年11月15修正）</w:t>
            </w:r>
          </w:p>
          <w:p w14:paraId="57B0E031">
            <w:pPr>
              <w:jc w:val="left"/>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rPr>
              <w:t>四、《土地权属争议调查处理办法》（2010年11月30日修正）</w:t>
            </w:r>
          </w:p>
        </w:tc>
      </w:tr>
    </w:tbl>
    <w:p w14:paraId="15F31211">
      <w:pPr>
        <w:jc w:val="both"/>
        <w:rPr>
          <w:rFonts w:hint="eastAsia" w:ascii="宋体" w:hAnsi="宋体" w:eastAsia="宋体" w:cs="宋体"/>
          <w:b/>
          <w:bCs/>
          <w:i w:val="0"/>
          <w:iCs w:val="0"/>
          <w:color w:val="000000"/>
          <w:kern w:val="0"/>
          <w:sz w:val="44"/>
          <w:szCs w:val="44"/>
          <w:u w:val="none"/>
          <w:lang w:val="en-US" w:eastAsia="zh-CN" w:bidi="ar"/>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ZTUxMzdlODg3YWNlMWI5YmM0ODU2NjE2NTY1OGIifQ=="/>
  </w:docVars>
  <w:rsids>
    <w:rsidRoot w:val="10335D93"/>
    <w:rsid w:val="0B6007B3"/>
    <w:rsid w:val="10335D93"/>
    <w:rsid w:val="17990DCD"/>
    <w:rsid w:val="47FC3241"/>
    <w:rsid w:val="798E7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1668</Words>
  <Characters>1736</Characters>
  <Lines>0</Lines>
  <Paragraphs>0</Paragraphs>
  <TotalTime>0</TotalTime>
  <ScaleCrop>false</ScaleCrop>
  <LinksUpToDate>false</LinksUpToDate>
  <CharactersWithSpaces>1759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2024-05-10T06:44:00Z</dcterms:created>
  <dc:creator>WPS_205367352</dc:creator>
  <cp:lastModifiedBy>1999.</cp:lastModifiedBy>
  <dcterms:modified xsi:type="dcterms:W3CDTF">2024-08-05T06:18:45Z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327A07B9AAE44ED69665BE5C5AB64870_13</vt:lpwstr>
  </property>
</Properties>
</file>