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C9DC">
      <w:pPr>
        <w:pStyle w:val="17"/>
        <w:rPr>
          <w:rFonts w:hint="eastAsia"/>
        </w:rPr>
      </w:pPr>
      <w:r>
        <w:rPr>
          <w:rFonts w:hint="eastAsia"/>
        </w:rPr>
        <w:t>黑瞎子岛镇</w:t>
      </w:r>
      <w:r>
        <w:rPr>
          <w:rFonts w:hint="eastAsia"/>
          <w:lang w:val="en-US" w:eastAsia="zh-CN"/>
        </w:rPr>
        <w:t>人民</w:t>
      </w:r>
      <w:r>
        <w:rPr>
          <w:rFonts w:hint="eastAsia"/>
        </w:rPr>
        <w:t>政府2024年</w:t>
      </w:r>
      <w:r>
        <w:rPr>
          <w:rFonts w:hint="eastAsia"/>
          <w:lang w:val="en-US" w:eastAsia="zh-CN"/>
        </w:rPr>
        <w:t>政府</w:t>
      </w:r>
      <w:r>
        <w:rPr>
          <w:rFonts w:hint="eastAsia"/>
        </w:rPr>
        <w:t>信息公开</w:t>
      </w:r>
    </w:p>
    <w:p w14:paraId="427C314B">
      <w:pPr>
        <w:pStyle w:val="17"/>
        <w:rPr>
          <w:rFonts w:hint="eastAsia"/>
        </w:rPr>
      </w:pPr>
      <w:r>
        <w:rPr>
          <w:rFonts w:hint="eastAsia"/>
        </w:rPr>
        <w:t>工作年度报告</w:t>
      </w:r>
    </w:p>
    <w:p w14:paraId="05E27D17">
      <w:pPr>
        <w:pStyle w:val="23"/>
      </w:pPr>
    </w:p>
    <w:p w14:paraId="6BB9C92A">
      <w:pPr>
        <w:pStyle w:val="25"/>
      </w:pPr>
      <w:r>
        <w:rPr>
          <w:rFonts w:hint="eastAsia"/>
        </w:rPr>
        <w:t>一、总体情况</w:t>
      </w:r>
    </w:p>
    <w:p w14:paraId="62CCBF18">
      <w:pPr>
        <w:pStyle w:val="27"/>
        <w:rPr>
          <w:rFonts w:hint="eastAsia" w:eastAsia="仿宋"/>
          <w:lang w:eastAsia="zh-CN"/>
        </w:rPr>
      </w:pPr>
      <w:r>
        <w:rPr>
          <w:rFonts w:hint="eastAsia"/>
        </w:rPr>
        <w:t>2024年，黑瞎子岛镇</w:t>
      </w:r>
      <w:r>
        <w:rPr>
          <w:rFonts w:hint="eastAsia"/>
          <w:lang w:val="en-US" w:eastAsia="zh-CN"/>
        </w:rPr>
        <w:t>按照市委、市政府工作部署，紧扣本镇工作实际，扎实推进政府信息公开工作。按照</w:t>
      </w:r>
      <w:r>
        <w:rPr>
          <w:rFonts w:hint="eastAsia"/>
        </w:rPr>
        <w:t>《中华人民共和国政府信息公开条例》</w:t>
      </w:r>
      <w:r>
        <w:rPr>
          <w:rFonts w:hint="eastAsia"/>
          <w:lang w:val="en-US" w:eastAsia="zh-CN"/>
        </w:rPr>
        <w:t>要求</w:t>
      </w:r>
      <w:r>
        <w:rPr>
          <w:rFonts w:hint="eastAsia"/>
        </w:rPr>
        <w:t>，细化公开数据与信息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规范公开程序与格式，着力提高政务公开工作标准化规范化水平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现将本年度政府信息公开工作报告如下</w:t>
      </w:r>
      <w:r>
        <w:rPr>
          <w:rFonts w:hint="eastAsia"/>
          <w:lang w:eastAsia="zh-CN"/>
        </w:rPr>
        <w:t>：</w:t>
      </w:r>
    </w:p>
    <w:p w14:paraId="728C6EB5">
      <w:pPr>
        <w:pStyle w:val="19"/>
        <w:rPr>
          <w:rFonts w:hint="eastAsia"/>
        </w:rPr>
      </w:pPr>
      <w:r>
        <w:rPr>
          <w:rFonts w:hint="eastAsia"/>
        </w:rPr>
        <w:t>（一）主动公开情况</w:t>
      </w:r>
    </w:p>
    <w:p w14:paraId="194AD29F">
      <w:pPr>
        <w:pStyle w:val="27"/>
        <w:rPr>
          <w:rFonts w:hint="eastAsia"/>
        </w:rPr>
      </w:pPr>
      <w:r>
        <w:rPr>
          <w:rFonts w:hint="eastAsia"/>
        </w:rPr>
        <w:t>2024年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黑瞎子岛镇</w:t>
      </w:r>
      <w:r>
        <w:rPr>
          <w:rFonts w:hint="eastAsia"/>
          <w:lang w:val="en-US" w:eastAsia="zh-CN"/>
        </w:rPr>
        <w:t>主动公开政府</w:t>
      </w:r>
      <w:r>
        <w:rPr>
          <w:rFonts w:hint="eastAsia"/>
        </w:rPr>
        <w:t>信息94</w:t>
      </w:r>
      <w:r>
        <w:rPr>
          <w:rFonts w:hint="eastAsia"/>
          <w:lang w:val="en-US" w:eastAsia="zh-CN"/>
        </w:rPr>
        <w:t>条</w:t>
      </w:r>
      <w:r>
        <w:rPr>
          <w:rFonts w:hint="eastAsia"/>
        </w:rPr>
        <w:t>，其中</w:t>
      </w:r>
      <w:r>
        <w:rPr>
          <w:rFonts w:hint="eastAsia"/>
          <w:lang w:val="en-US" w:eastAsia="zh-CN"/>
        </w:rPr>
        <w:t>通过</w:t>
      </w:r>
      <w:r>
        <w:rPr>
          <w:rFonts w:hint="eastAsia"/>
        </w:rPr>
        <w:t>“黑瞎子岛镇工作信息平台”微信公众平台公开信息92条，其他平台公开信息2条。</w:t>
      </w:r>
    </w:p>
    <w:p w14:paraId="2AD77B34">
      <w:pPr>
        <w:pStyle w:val="19"/>
        <w:rPr>
          <w:rFonts w:hint="eastAsia"/>
        </w:rPr>
      </w:pPr>
      <w:r>
        <w:rPr>
          <w:rFonts w:hint="eastAsia"/>
        </w:rPr>
        <w:t>（二）依申请公开情况</w:t>
      </w:r>
    </w:p>
    <w:p w14:paraId="7DFC75C0">
      <w:pPr>
        <w:pStyle w:val="27"/>
        <w:rPr>
          <w:rFonts w:hint="eastAsia"/>
        </w:rPr>
      </w:pPr>
      <w:r>
        <w:rPr>
          <w:rFonts w:hint="eastAsia"/>
        </w:rPr>
        <w:t>2024年黑瞎子岛镇受理依申请公开政府信息0件。</w:t>
      </w:r>
    </w:p>
    <w:p w14:paraId="4673E21B">
      <w:pPr>
        <w:pStyle w:val="19"/>
        <w:rPr>
          <w:rFonts w:hint="eastAsia"/>
        </w:rPr>
      </w:pPr>
      <w:r>
        <w:rPr>
          <w:rFonts w:hint="eastAsia"/>
        </w:rPr>
        <w:t>（三）政府信息管理情况</w:t>
      </w:r>
    </w:p>
    <w:p w14:paraId="0975E727">
      <w:pPr>
        <w:pStyle w:val="27"/>
        <w:rPr>
          <w:rFonts w:hint="eastAsia"/>
        </w:rPr>
      </w:pPr>
      <w:r>
        <w:rPr>
          <w:rFonts w:hint="eastAsia"/>
        </w:rPr>
        <w:t>黑瞎子岛镇政府信息公开严格落实主要领导负总责,分管领导直接抓,各相关</w:t>
      </w:r>
      <w:r>
        <w:rPr>
          <w:rFonts w:hint="eastAsia"/>
          <w:lang w:val="en-US" w:eastAsia="zh-CN"/>
        </w:rPr>
        <w:t>中心、所、站</w:t>
      </w:r>
      <w:r>
        <w:rPr>
          <w:rFonts w:hint="eastAsia"/>
        </w:rPr>
        <w:t>具体办的工作机制,持续强化政府信息公开工作的组织领导。不断加强政府信息发布管理,政府信息发布审核审批遵循“谁主管、谁负责,谁公开、谁审核”的原则,严格落实信息发布“三审”制度,所有拟公开的政府信息,坚持分级审核、先审后发,确保信息发布的权威性、及时性、准确性和安全性。</w:t>
      </w:r>
    </w:p>
    <w:p w14:paraId="432FBED8">
      <w:pPr>
        <w:pStyle w:val="19"/>
        <w:rPr>
          <w:rFonts w:hint="eastAsia"/>
        </w:rPr>
      </w:pPr>
      <w:r>
        <w:rPr>
          <w:rFonts w:hint="eastAsia"/>
        </w:rPr>
        <w:t>（四）政府信息公开平台建设</w:t>
      </w:r>
    </w:p>
    <w:p w14:paraId="094C365B">
      <w:pPr>
        <w:pStyle w:val="27"/>
        <w:rPr>
          <w:rFonts w:hint="eastAsia"/>
        </w:rPr>
      </w:pPr>
      <w:r>
        <w:rPr>
          <w:rFonts w:hint="eastAsia"/>
          <w:lang w:val="en-US" w:eastAsia="zh-CN"/>
        </w:rPr>
        <w:t>持续加强</w:t>
      </w:r>
      <w:r>
        <w:rPr>
          <w:rFonts w:hint="eastAsia"/>
        </w:rPr>
        <w:t>黑瞎子岛镇微信公众平台“黑瞎子岛镇工作信息平台”账号建设，强化平台信息发布监审力度，提升信息公开时效性与准确性。</w:t>
      </w:r>
    </w:p>
    <w:p w14:paraId="735A732A">
      <w:pPr>
        <w:pStyle w:val="19"/>
        <w:rPr>
          <w:rFonts w:hint="eastAsia"/>
        </w:rPr>
      </w:pPr>
      <w:r>
        <w:rPr>
          <w:rFonts w:hint="eastAsia"/>
        </w:rPr>
        <w:t>（五）监督保障情况</w:t>
      </w:r>
    </w:p>
    <w:p w14:paraId="7A261F52">
      <w:pPr>
        <w:pStyle w:val="27"/>
        <w:rPr>
          <w:rFonts w:hint="eastAsia"/>
        </w:rPr>
      </w:pPr>
      <w:r>
        <w:rPr>
          <w:rFonts w:hint="eastAsia"/>
        </w:rPr>
        <w:t>及时调整</w:t>
      </w:r>
      <w:r>
        <w:rPr>
          <w:rFonts w:hint="eastAsia"/>
          <w:lang w:val="en-US" w:eastAsia="zh-CN"/>
        </w:rPr>
        <w:t>黑瞎子岛镇</w:t>
      </w:r>
      <w:r>
        <w:rPr>
          <w:rFonts w:hint="eastAsia"/>
        </w:rPr>
        <w:t>政府信息公开工作领导小组,明确责任划分，强化组织协调与统筹推进，做到“应公开尽公开、信息透明常态化”。修订完善信息公开工作制度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强化</w:t>
      </w:r>
      <w:r>
        <w:rPr>
          <w:rFonts w:hint="eastAsia"/>
        </w:rPr>
        <w:t>工作部署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坚持与业务工作同部署、同检查、同考核,主动公开咨询、监督投诉电话,自觉接受有关部门监督检查和社会评议。截止2024年12月31日,我</w:t>
      </w:r>
      <w:r>
        <w:rPr>
          <w:rFonts w:hint="eastAsia"/>
          <w:lang w:val="en-US" w:eastAsia="zh-CN"/>
        </w:rPr>
        <w:t>镇</w:t>
      </w:r>
      <w:r>
        <w:rPr>
          <w:rFonts w:hint="eastAsia"/>
        </w:rPr>
        <w:t>未收到投诉问题和评议意见,无责任追究。</w:t>
      </w:r>
    </w:p>
    <w:p w14:paraId="5FD8ED73">
      <w:pPr>
        <w:pStyle w:val="25"/>
      </w:pPr>
      <w:r>
        <w:rPr>
          <w:rFonts w:hint="eastAsia"/>
        </w:rPr>
        <w:t>二、主动公开政府信息情况</w:t>
      </w:r>
    </w:p>
    <w:tbl>
      <w:tblPr>
        <w:tblStyle w:val="15"/>
        <w:tblW w:w="9735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2C82FB2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A503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第二十条第（一）项</w:t>
            </w:r>
          </w:p>
        </w:tc>
      </w:tr>
      <w:tr w14:paraId="18A83AE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91BF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EF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ED4F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3B5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现行有效件数</w:t>
            </w:r>
          </w:p>
        </w:tc>
      </w:tr>
      <w:tr w14:paraId="5369B85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75FE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78B3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4BC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C266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E66D2A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1148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763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04E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2F11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233C9E4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BE9F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第二十条第（五）项</w:t>
            </w:r>
          </w:p>
        </w:tc>
      </w:tr>
      <w:tr w14:paraId="4148F82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FC31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BE18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本年处理决定数量</w:t>
            </w:r>
          </w:p>
        </w:tc>
      </w:tr>
      <w:tr w14:paraId="6575314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0E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C89F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2D4390D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0504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第二十条第（六）项</w:t>
            </w:r>
          </w:p>
        </w:tc>
      </w:tr>
      <w:tr w14:paraId="23E783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7C5D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EBFF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本年处理决定数量</w:t>
            </w:r>
          </w:p>
        </w:tc>
      </w:tr>
      <w:tr w14:paraId="28D2C7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19F1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FD6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411468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4578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F8C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49E4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C95D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第二十条第（八）项</w:t>
            </w:r>
          </w:p>
        </w:tc>
      </w:tr>
      <w:tr w14:paraId="70329B6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F350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3222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本年收费金额（单位：万元）</w:t>
            </w:r>
          </w:p>
        </w:tc>
      </w:tr>
      <w:tr w14:paraId="46BEABB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142D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F272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</w:tbl>
    <w:p w14:paraId="1BCF2297">
      <w:pPr>
        <w:pStyle w:val="25"/>
      </w:pPr>
      <w:r>
        <w:rPr>
          <w:rFonts w:hint="eastAsia"/>
        </w:rPr>
        <w:t>三、收到和处理政府信息公开申请情况</w:t>
      </w:r>
    </w:p>
    <w:tbl>
      <w:tblPr>
        <w:tblStyle w:val="15"/>
        <w:tblW w:w="9750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080"/>
        <w:gridCol w:w="3115"/>
        <w:gridCol w:w="680"/>
        <w:gridCol w:w="680"/>
        <w:gridCol w:w="680"/>
        <w:gridCol w:w="680"/>
        <w:gridCol w:w="680"/>
        <w:gridCol w:w="695"/>
        <w:gridCol w:w="695"/>
      </w:tblGrid>
      <w:tr w14:paraId="05F2A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EC5C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4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67C1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申请人情况</w:t>
            </w:r>
          </w:p>
        </w:tc>
      </w:tr>
      <w:tr w14:paraId="64E1653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E8FA9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2917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3E3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E64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</w:tr>
      <w:tr w14:paraId="281D7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F4D6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DF99E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336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商业</w:t>
            </w:r>
          </w:p>
          <w:p w14:paraId="63617D6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53AE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科研</w:t>
            </w:r>
          </w:p>
          <w:p w14:paraId="7F8273C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FB54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9B8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3C5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2C93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15E9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6161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9E1D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905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7867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541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1168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94CC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30FB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4607F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9D1E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64B9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E639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E81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73F0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8C70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8443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CCDD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0E3069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3656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三、本年度办理结果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637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81E1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84B7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4545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4A9A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E5F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C96E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503E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B4D0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81852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9D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754F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34B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957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22A7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2B83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30D2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C307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0EA2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61FEE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D142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AD80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EB02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7BA5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4084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E44A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D026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2F3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7EEA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A9C9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954EE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010B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77E9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0BE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034E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949C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05C0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75CF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5990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CE8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14E1CE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EA9DC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B4EB6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7F37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4BB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5ACE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7A07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3EC8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6D45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D9FE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D3A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77BD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B0240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635F3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965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C3EA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C607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C855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581C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16B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E27F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F27F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615C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10FD4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D2369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83DFC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D52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F033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B785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3E11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F20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E8C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5533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38CD95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B9FC2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0BC86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3D5B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9723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07BE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F374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83BC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A998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0FED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DC21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AE1739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7A62F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32F2A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3932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06E7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AD9B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03A4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3B2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EC3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EBCC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DB9E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A392A4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1C22D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70E7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7298F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37CF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E213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E17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D0F4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A21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AD01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C98A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FC331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1751C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809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5046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5A89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2BC1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7BB5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BD14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859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4B8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7E96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8E9A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575D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A502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7CE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D7E5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5DD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5B8D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FF83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29BC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F829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22F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E87AF7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E721D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0B0E9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BF26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F25C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D3E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118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8272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21AF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0765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93CA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ADB57B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639DA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3202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62D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86DB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8A4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4B7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58C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B96E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96E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8546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C8EDF3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C13FA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B3D5C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1D84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F54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00E9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D7FD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2F31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E5A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5264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B6FD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ACAC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1696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99869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D4E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E4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048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42EB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019F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0CE2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1B29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C3CF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649CA43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8E66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0AFFE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8C9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F485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65FA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FAEA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B3C1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D23E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673A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FFD1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BD9B4D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546B1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9CD8B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1D3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7F78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F345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76F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3EA4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0761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E722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ECF7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3A644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FA6C5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A810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57B7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EFA8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D9C2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D5E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495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4F3D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BF86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4FA6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0858E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93B7E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026B5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97D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6F0C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F6B2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E190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3BA7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4A69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6EBE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4037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6DF109A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C5F18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CF8D0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310B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583B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ADCA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F85C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BE2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A02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00AB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8668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8D92D4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0D0F2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A6AB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D90E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CC94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1AC9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5E40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8F67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3457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0C95B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6F8BB7D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AF0C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096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907E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1538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E52B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8D75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993F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E84D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</w:tbl>
    <w:p w14:paraId="5E17F391">
      <w:pPr>
        <w:pStyle w:val="25"/>
      </w:pPr>
      <w:r>
        <w:rPr>
          <w:rFonts w:hint="eastAsia"/>
        </w:rPr>
        <w:t>四、政府信息公开行政复议、行政诉讼情况</w:t>
      </w:r>
    </w:p>
    <w:tbl>
      <w:tblPr>
        <w:tblStyle w:val="15"/>
        <w:tblW w:w="9750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F05B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7DA5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F2A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行政诉讼</w:t>
            </w:r>
          </w:p>
        </w:tc>
      </w:tr>
      <w:tr w14:paraId="05697CF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AA20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60B8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4397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D6FC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5440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FEFF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1F9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复议后起诉</w:t>
            </w:r>
          </w:p>
        </w:tc>
      </w:tr>
      <w:tr w14:paraId="3C51911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EB971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0F861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9850E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63EC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697BA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8A95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4CD2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083D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E2A5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A382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8D1A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021A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7D4A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6653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682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</w:tr>
      <w:tr w14:paraId="41595B4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87E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97EC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0FA9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B824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283F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D52D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050F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F9AA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CE10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23DE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ED9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4195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DFE9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DDA9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17D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</w:tbl>
    <w:p w14:paraId="1C10A9E3">
      <w:pPr>
        <w:pStyle w:val="25"/>
      </w:pPr>
      <w:r>
        <w:rPr>
          <w:rFonts w:hint="eastAsia"/>
        </w:rPr>
        <w:t>五、存在的主要问题及改进情况</w:t>
      </w:r>
    </w:p>
    <w:p w14:paraId="21E7103E">
      <w:pPr>
        <w:pStyle w:val="27"/>
        <w:rPr>
          <w:rFonts w:hint="eastAsia"/>
        </w:rPr>
      </w:pPr>
      <w:r>
        <w:rPr>
          <w:rFonts w:hint="eastAsia"/>
        </w:rPr>
        <w:t>2024年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黑</w:t>
      </w:r>
      <w:r>
        <w:rPr>
          <w:rFonts w:hint="eastAsia"/>
        </w:rPr>
        <w:t>瞎子岛镇政府信息公开工作取得了一定实效，但也存在一些问题和不足,一是主动公开信息还不够全面,政策解读更新较少,且转载上级解读内容较多,解读本级政策还不够全面;二是信息公开的范围和内容有待进一步扩大完善;三是重点领域信息主动公开仍需深化;四是政府信息公开工作队伍专业性仍需加强。</w:t>
      </w:r>
    </w:p>
    <w:p w14:paraId="3A1F6941">
      <w:pPr>
        <w:pStyle w:val="27"/>
        <w:rPr>
          <w:rFonts w:hint="eastAsia"/>
        </w:rPr>
      </w:pPr>
      <w:r>
        <w:rPr>
          <w:rFonts w:hint="eastAsia"/>
        </w:rPr>
        <w:t>下一步,我</w:t>
      </w:r>
      <w:r>
        <w:rPr>
          <w:rFonts w:hint="eastAsia"/>
          <w:lang w:val="en-US" w:eastAsia="zh-CN"/>
        </w:rPr>
        <w:t>镇</w:t>
      </w:r>
      <w:r>
        <w:rPr>
          <w:rFonts w:hint="eastAsia"/>
        </w:rPr>
        <w:t>将进一步深化政府信息公开工作,强化公开主体责任,细化信息公开内容,明确公开范围,加强事前事中的政务信息及时公开,做到依法公开、全量公开、按时公开。深入开展调查研究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广泛听取、收集人民群众的意见建议,了解群众需求,通过人民群众喜闻乐见的方式让信息公开接“地气”,顺“民心”。</w:t>
      </w:r>
    </w:p>
    <w:p w14:paraId="6264BDFD">
      <w:pPr>
        <w:pStyle w:val="25"/>
      </w:pPr>
      <w:r>
        <w:rPr>
          <w:rFonts w:hint="eastAsia"/>
          <w:shd w:val="clear" w:color="auto" w:fill="FFFFFF"/>
        </w:rPr>
        <w:t>六、其他需要报告的事项</w:t>
      </w:r>
    </w:p>
    <w:p w14:paraId="4DD96AF3">
      <w:pPr>
        <w:pStyle w:val="27"/>
        <w:rPr>
          <w:rFonts w:hint="eastAsia"/>
          <w:lang w:bidi="ar"/>
        </w:rPr>
      </w:pPr>
      <w:r>
        <w:rPr>
          <w:rFonts w:hint="eastAsia"/>
          <w:lang w:bidi="ar"/>
        </w:rPr>
        <w:t>黑瞎子岛镇未收取信息处理</w:t>
      </w:r>
      <w:bookmarkStart w:id="0" w:name="_GoBack"/>
      <w:bookmarkEnd w:id="0"/>
      <w:r>
        <w:rPr>
          <w:rFonts w:hint="eastAsia"/>
          <w:lang w:bidi="ar"/>
        </w:rPr>
        <w:t>费，无其他需要报告的事项。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579" w:charSpace="196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D8"/>
    <w:rsid w:val="00001322"/>
    <w:rsid w:val="000557D0"/>
    <w:rsid w:val="000627EF"/>
    <w:rsid w:val="001172E8"/>
    <w:rsid w:val="001445B3"/>
    <w:rsid w:val="001A5DD8"/>
    <w:rsid w:val="001B7B23"/>
    <w:rsid w:val="0024149B"/>
    <w:rsid w:val="002706FF"/>
    <w:rsid w:val="002C5EF3"/>
    <w:rsid w:val="00307A8C"/>
    <w:rsid w:val="00365121"/>
    <w:rsid w:val="003D70D7"/>
    <w:rsid w:val="003E158B"/>
    <w:rsid w:val="00441082"/>
    <w:rsid w:val="005041E9"/>
    <w:rsid w:val="00514A22"/>
    <w:rsid w:val="00540470"/>
    <w:rsid w:val="00553DB6"/>
    <w:rsid w:val="00637259"/>
    <w:rsid w:val="00694B19"/>
    <w:rsid w:val="007134FA"/>
    <w:rsid w:val="007F4890"/>
    <w:rsid w:val="00834A15"/>
    <w:rsid w:val="00844689"/>
    <w:rsid w:val="008B7E98"/>
    <w:rsid w:val="009C322E"/>
    <w:rsid w:val="00A146D4"/>
    <w:rsid w:val="00AC09EC"/>
    <w:rsid w:val="00AF5BED"/>
    <w:rsid w:val="00B50C96"/>
    <w:rsid w:val="00C32DB7"/>
    <w:rsid w:val="00C34029"/>
    <w:rsid w:val="00C45FA9"/>
    <w:rsid w:val="00D8129E"/>
    <w:rsid w:val="00E1474F"/>
    <w:rsid w:val="00E440C3"/>
    <w:rsid w:val="00E62510"/>
    <w:rsid w:val="00E72643"/>
    <w:rsid w:val="00E7317B"/>
    <w:rsid w:val="00EC643E"/>
    <w:rsid w:val="00F618EF"/>
    <w:rsid w:val="3E2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公·标题"/>
    <w:link w:val="18"/>
    <w:autoRedefine/>
    <w:qFormat/>
    <w:uiPriority w:val="0"/>
    <w:pPr>
      <w:spacing w:after="0" w:line="640" w:lineRule="exact"/>
      <w:jc w:val="center"/>
    </w:pPr>
    <w:rPr>
      <w:rFonts w:ascii="方正小标宋简体" w:hAnsi="方正小标宋简体" w:eastAsia="方正小标宋简体" w:cs="方正小标宋简体"/>
      <w:kern w:val="2"/>
      <w:sz w:val="44"/>
      <w:szCs w:val="21"/>
      <w:lang w:val="en-US" w:eastAsia="zh-CN" w:bidi="ar-SA"/>
      <w14:ligatures w14:val="none"/>
    </w:rPr>
  </w:style>
  <w:style w:type="character" w:customStyle="1" w:styleId="18">
    <w:name w:val="公·标题 字符"/>
    <w:basedOn w:val="16"/>
    <w:link w:val="17"/>
    <w:uiPriority w:val="0"/>
    <w:rPr>
      <w:rFonts w:ascii="方正小标宋简体" w:hAnsi="方正小标宋简体" w:eastAsia="方正小标宋简体" w:cs="方正小标宋简体"/>
      <w:sz w:val="44"/>
      <w:szCs w:val="21"/>
      <w14:ligatures w14:val="none"/>
    </w:rPr>
  </w:style>
  <w:style w:type="paragraph" w:customStyle="1" w:styleId="19">
    <w:name w:val="公·二级"/>
    <w:link w:val="20"/>
    <w:autoRedefine/>
    <w:qFormat/>
    <w:uiPriority w:val="0"/>
    <w:pPr>
      <w:spacing w:after="0" w:line="579" w:lineRule="exact"/>
      <w:ind w:firstLine="640" w:firstLineChars="200"/>
      <w:outlineLvl w:val="1"/>
    </w:pPr>
    <w:rPr>
      <w:rFonts w:ascii="Times New Roman" w:hAnsi="Times New Roman" w:eastAsia="楷体" w:cstheme="minorBidi"/>
      <w:kern w:val="2"/>
      <w:sz w:val="32"/>
      <w:szCs w:val="21"/>
      <w:lang w:val="en-US" w:eastAsia="zh-CN" w:bidi="ar-SA"/>
      <w14:ligatures w14:val="none"/>
    </w:rPr>
  </w:style>
  <w:style w:type="character" w:customStyle="1" w:styleId="20">
    <w:name w:val="公·二级 字符"/>
    <w:basedOn w:val="16"/>
    <w:link w:val="19"/>
    <w:uiPriority w:val="0"/>
    <w:rPr>
      <w:rFonts w:ascii="Times New Roman" w:hAnsi="Times New Roman" w:eastAsia="楷体"/>
      <w:sz w:val="32"/>
      <w:szCs w:val="21"/>
      <w14:ligatures w14:val="none"/>
    </w:rPr>
  </w:style>
  <w:style w:type="paragraph" w:customStyle="1" w:styleId="21">
    <w:name w:val="公·三级"/>
    <w:link w:val="22"/>
    <w:autoRedefine/>
    <w:qFormat/>
    <w:uiPriority w:val="0"/>
    <w:pPr>
      <w:spacing w:after="0" w:line="579" w:lineRule="exact"/>
      <w:ind w:firstLine="640" w:firstLineChars="200"/>
      <w:outlineLvl w:val="2"/>
    </w:pPr>
    <w:rPr>
      <w:rFonts w:ascii="仿宋" w:hAnsi="仿宋" w:eastAsia="仿宋" w:cs="仿宋"/>
      <w:b/>
      <w:kern w:val="2"/>
      <w:sz w:val="32"/>
      <w:szCs w:val="21"/>
      <w:lang w:val="en-US" w:eastAsia="zh-CN" w:bidi="ar-SA"/>
      <w14:ligatures w14:val="none"/>
    </w:rPr>
  </w:style>
  <w:style w:type="character" w:customStyle="1" w:styleId="22">
    <w:name w:val="公·三级 字符"/>
    <w:basedOn w:val="16"/>
    <w:link w:val="21"/>
    <w:uiPriority w:val="0"/>
    <w:rPr>
      <w:rFonts w:ascii="仿宋" w:hAnsi="仿宋" w:eastAsia="仿宋" w:cs="仿宋"/>
      <w:b/>
      <w:sz w:val="32"/>
      <w:szCs w:val="21"/>
      <w14:ligatures w14:val="none"/>
    </w:rPr>
  </w:style>
  <w:style w:type="paragraph" w:customStyle="1" w:styleId="23">
    <w:name w:val="公·小标题"/>
    <w:link w:val="24"/>
    <w:autoRedefine/>
    <w:qFormat/>
    <w:uiPriority w:val="0"/>
    <w:pPr>
      <w:spacing w:after="0" w:line="579" w:lineRule="exact"/>
      <w:jc w:val="center"/>
    </w:pPr>
    <w:rPr>
      <w:rFonts w:ascii="Times New Roman" w:hAnsi="Times New Roman" w:eastAsia="楷体" w:cs="方正小标宋简体"/>
      <w:kern w:val="2"/>
      <w:sz w:val="32"/>
      <w:szCs w:val="21"/>
      <w:lang w:val="en-US" w:eastAsia="zh-CN" w:bidi="ar-SA"/>
      <w14:ligatures w14:val="none"/>
    </w:rPr>
  </w:style>
  <w:style w:type="character" w:customStyle="1" w:styleId="24">
    <w:name w:val="公·小标题 字符"/>
    <w:basedOn w:val="18"/>
    <w:link w:val="23"/>
    <w:uiPriority w:val="0"/>
    <w:rPr>
      <w:rFonts w:ascii="Times New Roman" w:hAnsi="Times New Roman" w:eastAsia="楷体" w:cs="方正小标宋简体"/>
      <w:sz w:val="32"/>
      <w:szCs w:val="21"/>
      <w14:ligatures w14:val="none"/>
    </w:rPr>
  </w:style>
  <w:style w:type="paragraph" w:customStyle="1" w:styleId="25">
    <w:name w:val="公·一级"/>
    <w:link w:val="26"/>
    <w:autoRedefine/>
    <w:qFormat/>
    <w:uiPriority w:val="0"/>
    <w:pPr>
      <w:spacing w:after="0" w:line="579" w:lineRule="exact"/>
      <w:ind w:firstLine="640" w:firstLineChars="200"/>
      <w:outlineLvl w:val="0"/>
    </w:pPr>
    <w:rPr>
      <w:rFonts w:ascii="Times New Roman" w:hAnsi="Times New Roman" w:eastAsia="黑体" w:cstheme="minorBidi"/>
      <w:kern w:val="2"/>
      <w:sz w:val="32"/>
      <w:szCs w:val="21"/>
      <w:lang w:val="en-US" w:eastAsia="zh-CN" w:bidi="ar-SA"/>
      <w14:ligatures w14:val="none"/>
    </w:rPr>
  </w:style>
  <w:style w:type="character" w:customStyle="1" w:styleId="26">
    <w:name w:val="公·一级 字符"/>
    <w:basedOn w:val="16"/>
    <w:link w:val="25"/>
    <w:uiPriority w:val="0"/>
    <w:rPr>
      <w:rFonts w:ascii="Times New Roman" w:hAnsi="Times New Roman" w:eastAsia="黑体"/>
      <w:sz w:val="32"/>
      <w:szCs w:val="21"/>
      <w14:ligatures w14:val="none"/>
    </w:rPr>
  </w:style>
  <w:style w:type="paragraph" w:customStyle="1" w:styleId="27">
    <w:name w:val="公·正文"/>
    <w:link w:val="28"/>
    <w:autoRedefine/>
    <w:qFormat/>
    <w:uiPriority w:val="0"/>
    <w:pPr>
      <w:spacing w:after="0" w:line="579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  <w14:ligatures w14:val="none"/>
    </w:rPr>
  </w:style>
  <w:style w:type="character" w:customStyle="1" w:styleId="28">
    <w:name w:val="公·正文 字符"/>
    <w:basedOn w:val="16"/>
    <w:link w:val="27"/>
    <w:uiPriority w:val="0"/>
    <w:rPr>
      <w:rFonts w:ascii="仿宋" w:hAnsi="仿宋" w:eastAsia="仿宋" w:cs="仿宋"/>
      <w:sz w:val="32"/>
      <w:szCs w:val="32"/>
      <w14:ligatures w14:val="none"/>
    </w:rPr>
  </w:style>
  <w:style w:type="character" w:customStyle="1" w:styleId="2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2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3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3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3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9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引用 字符"/>
    <w:basedOn w:val="16"/>
    <w:link w:val="4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character" w:customStyle="1" w:styleId="4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5">
    <w:name w:val="明显引用 字符"/>
    <w:basedOn w:val="16"/>
    <w:link w:val="44"/>
    <w:uiPriority w:val="30"/>
    <w:rPr>
      <w:i/>
      <w:iCs/>
      <w:color w:val="104862" w:themeColor="accent1" w:themeShade="BF"/>
    </w:rPr>
  </w:style>
  <w:style w:type="character" w:customStyle="1" w:styleId="4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7">
    <w:name w:val="页眉 字符"/>
    <w:basedOn w:val="16"/>
    <w:link w:val="12"/>
    <w:uiPriority w:val="99"/>
    <w:rPr>
      <w:sz w:val="18"/>
      <w:szCs w:val="18"/>
    </w:rPr>
  </w:style>
  <w:style w:type="character" w:customStyle="1" w:styleId="48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715</Words>
  <Characters>732</Characters>
  <Lines>15</Lines>
  <Paragraphs>4</Paragraphs>
  <TotalTime>58</TotalTime>
  <ScaleCrop>false</ScaleCrop>
  <LinksUpToDate>false</LinksUpToDate>
  <CharactersWithSpaces>732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2025-01-14T02:54:00Z</dcterms:created>
  <dc:creator>俚涵 邱</dc:creator>
  <cp:lastModifiedBy>⒉ǒ i7~ゾ</cp:lastModifiedBy>
  <dcterms:modified xsi:type="dcterms:W3CDTF">2025-01-14T07:44:44Z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eyJoZGlkIjoiODBmYzlmZTEzOTlhYjlmMDk4NzMyYWMzYTg5NWMzM2QiLCJ1c2VySWQiOiIzMzEzOTA4MTUifQ==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65DF28AD481A46329EC7D3FB4E32EA5A_12</vt:lpwstr>
  </property>
</Properties>
</file>