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sz w:val="44"/>
          <w:lang w:val="en-US" w:eastAsia="zh-CN"/>
          <w:szCs w:val="44"/>
          <w:rFonts w:ascii="方正小标宋简体" w:hAnsi="方正小标宋简体" w:eastAsia="方正小标宋简体" w:hint="eastAsia"/>
        </w:rPr>
      </w:pPr>
      <w:r>
        <w:rPr>
          <w:sz w:val="44"/>
          <w:lang w:val="en-US" w:eastAsia="zh-CN"/>
          <w:szCs w:val="44"/>
          <w:rFonts w:ascii="方正小标宋简体" w:hAnsi="方正小标宋简体" w:eastAsia="方正小标宋简体" w:hint="eastAsia"/>
        </w:rPr>
        <w:t xml:space="preserve">别拉洪乡人民政府办公室</w:t>
      </w:r>
      <w:r>
        <w:rPr>
          <w:sz w:val="44"/>
          <w:lang w:val="en-US" w:eastAsia="zh-CN"/>
          <w:szCs w:val="44"/>
          <w:rFonts w:ascii="方正小标宋简体" w:hAnsi="方正小标宋简体" w:eastAsia="方正小标宋简体" w:hint="eastAsia"/>
        </w:rPr>
      </w:r>
    </w:p>
    <w:p>
      <w:pPr>
        <w:pStyle w:val="Normal"/>
        <w:jc w:val="center"/>
        <w:rPr>
          <w:sz w:val="44"/>
          <w:szCs w:val="44"/>
          <w:rFonts w:ascii="方正小标宋简体" w:hAnsi="方正小标宋简体" w:eastAsia="方正小标宋简体" w:hint="eastAsia"/>
        </w:rPr>
      </w:pPr>
      <w:r>
        <w:rPr>
          <w:sz w:val="44"/>
          <w:szCs w:val="44"/>
          <w:rFonts w:ascii="方正小标宋简体" w:hAnsi="方正小标宋简体" w:eastAsia="方正小标宋简体" w:hint="eastAsia"/>
        </w:rPr>
        <w:t xml:space="preserve">2023年政府信息公开工作年度报告</w:t>
      </w:r>
      <w:r>
        <w:rPr>
          <w:sz w:val="44"/>
          <w:szCs w:val="44"/>
          <w:rFonts w:ascii="方正小标宋简体" w:hAnsi="方正小标宋简体" w:eastAsia="方正小标宋简体" w:hint="eastAsia"/>
        </w:rPr>
      </w:r>
    </w:p>
    <w:p>
      <w:pPr>
        <w:pStyle w:val="Normal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  <w:t xml:space="preserve">一、总体情况</w:t>
      </w:r>
      <w:r>
        <w:rPr>
          <w:sz w:val="32"/>
          <w:szCs w:val="32"/>
          <w:rFonts w:ascii="黑体" w:hAnsi="黑体" w:eastAsia="黑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 2023年，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别拉洪乡人民政府</w:t>
      </w:r>
      <w:r>
        <w:rPr>
          <w:sz w:val="32"/>
          <w:szCs w:val="32"/>
          <w:rFonts w:ascii="仿宋" w:hAnsi="仿宋" w:eastAsia="仿宋" w:hint="eastAsia"/>
        </w:rPr>
        <w:t xml:space="preserve">政府办公室认真落实党中央、国务院和省、市政府关于政府信息公开的决策部署，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在市</w:t>
      </w:r>
      <w:r>
        <w:rPr>
          <w:sz w:val="32"/>
          <w:szCs w:val="32"/>
          <w:rFonts w:ascii="仿宋" w:hAnsi="仿宋" w:eastAsia="仿宋" w:hint="eastAsia"/>
        </w:rPr>
        <w:t xml:space="preserve">委、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市</w:t>
      </w:r>
      <w:r>
        <w:rPr>
          <w:sz w:val="32"/>
          <w:szCs w:val="32"/>
          <w:rFonts w:ascii="仿宋" w:hAnsi="仿宋" w:eastAsia="仿宋" w:hint="eastAsia"/>
        </w:rPr>
        <w:t xml:space="preserve">政府的正确领导下</w:t>
      </w:r>
      <w:r>
        <w:rPr>
          <w:sz w:val="32"/>
          <w:lang w:eastAsia="zh-CN"/>
          <w:szCs w:val="32"/>
          <w:rFonts w:ascii="仿宋" w:hAnsi="仿宋" w:eastAsia="仿宋" w:hint="eastAsia"/>
        </w:rPr>
        <w:t xml:space="preserve">，</w:t>
      </w:r>
      <w:r>
        <w:rPr>
          <w:sz w:val="32"/>
          <w:szCs w:val="32"/>
          <w:rFonts w:ascii="仿宋" w:hAnsi="仿宋" w:eastAsia="仿宋" w:hint="eastAsia"/>
        </w:rPr>
        <w:t xml:space="preserve">按照《中华人民共和国政府信息公开条例》切实履行工作职责，扎实开展政府信息公开各项工作。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楷体" w:hAnsi="楷体" w:eastAsia="楷体" w:hint="eastAsia"/>
        </w:rPr>
      </w:pPr>
      <w:r>
        <w:rPr>
          <w:sz w:val="32"/>
          <w:szCs w:val="32"/>
          <w:rFonts w:ascii="楷体" w:hAnsi="楷体" w:eastAsia="楷体" w:hint="eastAsia"/>
        </w:rPr>
        <w:t xml:space="preserve">（一）主动公开情况</w:t>
      </w:r>
      <w:r>
        <w:rPr>
          <w:sz w:val="32"/>
          <w:szCs w:val="32"/>
          <w:rFonts w:ascii="楷体" w:hAnsi="楷体" w:eastAsia="楷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别拉洪</w:t>
      </w:r>
      <w:r>
        <w:rPr>
          <w:sz w:val="32"/>
          <w:szCs w:val="32"/>
          <w:rFonts w:ascii="仿宋" w:hAnsi="仿宋" w:eastAsia="仿宋" w:hint="eastAsia"/>
        </w:rPr>
        <w:t xml:space="preserve">乡始终将政务公开工作纳入重要议事日程，结合实际，加大领导力度，优化组织机构，形成了主要领导亲自抓，分管领导具体抓，层层有人管、层层抓落实的工作格局。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楷体" w:hAnsi="楷体" w:eastAsia="楷体" w:hint="eastAsia"/>
        </w:rPr>
      </w:pPr>
      <w:r>
        <w:rPr>
          <w:sz w:val="32"/>
          <w:szCs w:val="32"/>
          <w:rFonts w:ascii="楷体" w:hAnsi="楷体" w:eastAsia="楷体" w:hint="eastAsia"/>
        </w:rPr>
        <w:t xml:space="preserve">（二）依申请公开情况</w:t>
      </w:r>
      <w:r>
        <w:rPr>
          <w:sz w:val="32"/>
          <w:szCs w:val="32"/>
          <w:rFonts w:ascii="楷体" w:hAnsi="楷体" w:eastAsia="楷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2023年，我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乡未</w:t>
      </w:r>
      <w:r>
        <w:rPr>
          <w:sz w:val="32"/>
          <w:szCs w:val="32"/>
          <w:rFonts w:ascii="仿宋" w:hAnsi="仿宋" w:eastAsia="仿宋" w:hint="eastAsia"/>
        </w:rPr>
        <w:t xml:space="preserve">收到依申请公开事项。未发生因政府信息公开申请行政复议、提出行政诉讼的情况。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楷体" w:hAnsi="楷体" w:eastAsia="楷体" w:hint="eastAsia"/>
        </w:rPr>
      </w:pPr>
      <w:r>
        <w:rPr>
          <w:sz w:val="32"/>
          <w:szCs w:val="32"/>
          <w:rFonts w:ascii="楷体" w:hAnsi="楷体" w:eastAsia="楷体" w:hint="eastAsia"/>
        </w:rPr>
        <w:t xml:space="preserve">（三）政府信息管理情况</w:t>
      </w:r>
      <w:r>
        <w:rPr>
          <w:sz w:val="32"/>
          <w:szCs w:val="32"/>
          <w:rFonts w:ascii="楷体" w:hAnsi="楷体" w:eastAsia="楷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 明确政务公开工作的主要目标、基本要求、工作任务和措施，进一步规范公开目录，完善公开方式，做到领导力度、目标责任、监督检查“三到位”，确保各公开栏目信息有据可循，有力保障政务公开工作措施的有效落实和高效运转。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楷体" w:hAnsi="楷体" w:eastAsia="楷体" w:hint="eastAsia"/>
        </w:rPr>
      </w:pPr>
      <w:r>
        <w:rPr>
          <w:sz w:val="32"/>
          <w:szCs w:val="32"/>
          <w:rFonts w:ascii="楷体" w:hAnsi="楷体" w:eastAsia="楷体" w:hint="eastAsia"/>
        </w:rPr>
        <w:t xml:space="preserve">（四）政府信息公开平台建设</w:t>
      </w:r>
      <w:r>
        <w:rPr>
          <w:sz w:val="32"/>
          <w:szCs w:val="32"/>
          <w:rFonts w:ascii="楷体" w:hAnsi="楷体" w:eastAsia="楷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lang w:val="en-US" w:eastAsia="zh-CN"/>
          <w:szCs w:val="32"/>
          <w:rFonts w:ascii="仿宋" w:hAnsi="仿宋" w:eastAsia="仿宋" w:hint="eastAsia"/>
        </w:rPr>
      </w:pP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我乡依托于抚远政府网站、融媒体中心等信息平台和公众号，乡内公示栏进行信息公开。。</w:t>
      </w:r>
      <w:r>
        <w:rPr>
          <w:sz w:val="32"/>
          <w:lang w:val="en-US" w:eastAsia="zh-CN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楷体" w:hAnsi="楷体" w:eastAsia="楷体" w:hint="eastAsia"/>
        </w:rPr>
      </w:pPr>
      <w:r>
        <w:rPr>
          <w:sz w:val="32"/>
          <w:szCs w:val="32"/>
          <w:rFonts w:ascii="楷体" w:hAnsi="楷体" w:eastAsia="楷体" w:hint="eastAsia"/>
        </w:rPr>
        <w:t xml:space="preserve">（五）监督保障</w:t>
      </w:r>
      <w:r>
        <w:rPr>
          <w:sz w:val="32"/>
          <w:szCs w:val="32"/>
          <w:rFonts w:ascii="楷体" w:hAnsi="楷体" w:eastAsia="楷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根据《中华人民共和国保守国家秘密法》，“涉密信息不上网，上网信息不涉密”的原则，确保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上报</w:t>
      </w:r>
      <w:r>
        <w:rPr>
          <w:sz w:val="32"/>
          <w:szCs w:val="32"/>
          <w:rFonts w:ascii="仿宋" w:hAnsi="仿宋" w:eastAsia="仿宋" w:hint="eastAsia"/>
        </w:rPr>
        <w:t xml:space="preserve">政务信息公开内容无涉及国家秘密和内部敏感事项。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HtmlNormal"/>
        <w:keepNext w:val="0"/>
        <w:keepLines w:val="0"/>
        <w:jc w:val="both"/>
        <w:widowControl/>
        <w:suppressLineNumbers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85" w:lineRule="atLeast"/>
        <w:ind w:firstLine="420" w:left="0" w:right="0"/>
        <w:rPr>
          <w:vertAlign w:val="baseline"/>
          <w:b w:val="0"/>
          <w:i w:val="0"/>
          <w:color w:val="333333"/>
          <w:spacing w:val="0"/>
          <w:sz w:val="31"/>
          <w:szCs w:val="31"/>
          <w:bCs w:val="0"/>
          <w:iCs w:val="0"/>
          <w:shd w:val="clear" w:color="auto" w:fill="FFFFFF"/>
          <w:rFonts w:ascii="黑体" w:hAnsi="宋体" w:eastAsia="黑体" w:hint="eastAsia"/>
        </w:rPr>
      </w:pPr>
      <w:r>
        <w:rPr>
          <w:vertAlign w:val="baseline"/>
          <w:b w:val="0"/>
          <w:i w:val="0"/>
          <w:color w:val="333333"/>
          <w:spacing w:val="0"/>
          <w:sz w:val="31"/>
          <w:szCs w:val="31"/>
          <w:bCs w:val="0"/>
          <w:iCs w:val="0"/>
          <w:shd w:val="clear" w:color="auto" w:fill="FFFFFF"/>
          <w:rFonts w:ascii="黑体" w:hAnsi="宋体" w:eastAsia="黑体" w:hint="eastAsia"/>
        </w:rPr>
        <w:t xml:space="preserve">二、主动公开政府信息情况</w:t>
      </w:r>
      <w:r>
        <w:rPr>
          <w:i w:val="0"/>
          <w:color w:val="000000"/>
          <w:spacing w:val="0"/>
          <w:sz w:val="32"/>
          <w:szCs w:val="32"/>
          <w:iCs w:val="0"/>
          <w:rFonts w:ascii="仿宋" w:hAnsi="仿宋" w:eastAsia="仿宋" w:hint="eastAsia"/>
        </w:rPr>
      </w:r>
    </w:p>
    <w:tbl>
      <w:tblPr>
        <w:tblW w:w="9735" w:type="dxa"/>
        <w:jc w:val="center"/>
        <w:tblInd w:type="dxa" w:w="-60.000000"/>
        <w:tblLayout w:type="autofit"/>
        <w:shd w:val="clear" w:color="auto" w:fill="FFFFFF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type="dxa" w:w="0.000000"/>
          <w:bottom w:type="dxa" w:w="0.000000"/>
          <w:left w:type="dxa" w:w="60.000000"/>
          <w:right w:type="dxa" w:w="60.000000"/>
        </w:tblCellMar>
      </w:tblPr>
      <w:tblGrid>
        <w:gridCol w:w="2430.000000"/>
        <w:gridCol w:w="2430.000000"/>
        <w:gridCol w:w="2430.000000"/>
        <w:gridCol w:w="2445.0000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9735" w:type="dxa"/>
            <w:gridSpan w:val="4"/>
            <w:vAlign w:val="top"/>
            <w:shd w:val="clear" w:color="auto" w:fill="C6D9F1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第二十条第（一）项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信息内容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本年制发件数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本年废止件数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现行有效件数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规章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21"/>
                <w:szCs w:val="21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21"/>
                <w:szCs w:val="21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行政规范性文件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4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9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9735" w:type="dxa"/>
            <w:gridSpan w:val="4"/>
            <w:vAlign w:val="top"/>
            <w:shd w:val="clear" w:color="auto" w:fill="C6D9F1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第二十条第（五）项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信息内容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7305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本年处理决定数量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行政许可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7305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9735" w:type="dxa"/>
            <w:gridSpan w:val="4"/>
            <w:vAlign w:val="top"/>
            <w:shd w:val="clear" w:color="auto" w:fill="C6D9F1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第二十条第（六）项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信息内容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7305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本年处理决定数量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行政处罚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7305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行政强制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7305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9735" w:type="dxa"/>
            <w:gridSpan w:val="4"/>
            <w:vAlign w:val="top"/>
            <w:shd w:val="clear" w:color="auto" w:fill="C6D9F1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第二十条第（八）项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信息内容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7305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本年收费金额（单位：万元）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5" w:hRule="atLeast"/>
        </w:trPr>
        <w:tc>
          <w:tcPr>
            <w:tcW w:w="2430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行政事业性收费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7305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225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</w:tbl>
    <w:p>
      <w:pPr>
        <w:pStyle w:val="HtmlNormal"/>
        <w:keepNext w:val="0"/>
        <w:keepLines w:val="0"/>
        <w:jc w:val="both"/>
        <w:widowControl/>
        <w:suppressLineNumbers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85" w:lineRule="atLeast"/>
        <w:ind w:firstLine="420" w:left="0" w:right="0"/>
        <w:rPr>
          <w:vertAlign w:val="baseline"/>
          <w:b w:val="0"/>
          <w:i w:val="0"/>
          <w:color w:val="333333"/>
          <w:spacing w:val="0"/>
          <w:sz w:val="31"/>
          <w:szCs w:val="31"/>
          <w:bCs w:val="0"/>
          <w:iCs w:val="0"/>
          <w:shd w:val="clear" w:color="auto" w:fill="FFFFFF"/>
          <w:rFonts w:ascii="黑体" w:hAnsi="宋体" w:eastAsia="黑体" w:hint="eastAsia"/>
        </w:rPr>
      </w:pPr>
      <w:r>
        <w:rPr>
          <w:vertAlign w:val="baseline"/>
          <w:b w:val="0"/>
          <w:i w:val="0"/>
          <w:color w:val="333333"/>
          <w:spacing w:val="0"/>
          <w:sz w:val="31"/>
          <w:szCs w:val="31"/>
          <w:bCs w:val="0"/>
          <w:iCs w:val="0"/>
          <w:shd w:val="clear" w:color="auto" w:fill="FFFFFF"/>
          <w:rFonts w:ascii="黑体" w:hAnsi="宋体" w:eastAsia="黑体" w:hint="eastAsia"/>
        </w:rPr>
        <w:t xml:space="preserve">三、收到和处理政府信息公开申请情况</w:t>
      </w:r>
      <w:r>
        <w:rPr>
          <w:i w:val="0"/>
          <w:color w:val="000000"/>
          <w:spacing w:val="0"/>
          <w:sz w:val="32"/>
          <w:szCs w:val="32"/>
          <w:iCs w:val="0"/>
          <w:rFonts w:ascii="仿宋" w:hAnsi="仿宋" w:eastAsia="仿宋" w:hint="eastAsia"/>
        </w:rPr>
      </w:r>
    </w:p>
    <w:tbl>
      <w:tblPr>
        <w:tblW w:w="9750" w:type="dxa"/>
        <w:jc w:val="center"/>
        <w:tblInd w:type="dxa" w:w="-105.000000"/>
        <w:tblLayout w:type="autofit"/>
        <w:shd w:val="clear" w:color="auto" w:fill="FFFFFF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type="dxa" w:w="0.000000"/>
          <w:bottom w:type="dxa" w:w="0.000000"/>
          <w:left w:type="dxa" w:w="60.000000"/>
          <w:right w:type="dxa" w:w="60.000000"/>
        </w:tblCellMar>
      </w:tblPr>
      <w:tblGrid>
        <w:gridCol w:w="920.000000"/>
        <w:gridCol w:w="1387.000000"/>
        <w:gridCol w:w="2333.000000"/>
        <w:gridCol w:w="730.000000"/>
        <w:gridCol w:w="730.000000"/>
        <w:gridCol w:w="730.000000"/>
        <w:gridCol w:w="730.000000"/>
        <w:gridCol w:w="730.000000"/>
        <w:gridCol w:w="730.000000"/>
        <w:gridCol w:w="730.0000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5220" w:type="dxa"/>
            <w:gridSpan w:val="3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楷体" w:hAnsi="楷体" w:eastAsia="楷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楷体" w:hAnsi="楷体" w:eastAsia="楷体"/>
              </w:rPr>
              <w:t xml:space="preserve">（本列数据的勾稽关系为：第一项加第二项之和，等于第三项加第四项之和）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5110" w:type="dxa"/>
            <w:gridSpan w:val="7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申请人情况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5220" w:type="dxa"/>
            <w:gridSpan w:val="3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自然人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3650" w:type="dxa"/>
            <w:gridSpan w:val="5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法人或其他组织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总计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5220" w:type="dxa"/>
            <w:gridSpan w:val="3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商业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企业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科研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机构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社会公益组织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法律服务机构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其他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5220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一、本年新收政府信息公开申请数量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21"/>
                <w:szCs w:val="21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21"/>
                <w:szCs w:val="21"/>
                <w:iCs w:val="0"/>
                <w:rFonts w:ascii="Calibri" w:hAnsi="Calibri" w:eastAsia="宋体"/>
              </w:rPr>
              <w:t xml:space="preserve">4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4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5220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二、上年结转政府信息公开申请数量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3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3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三、本年度办理结果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4470" w:type="dxa"/>
            <w:gridSpan w:val="2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（一）予以公开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4470" w:type="dxa"/>
            <w:gridSpan w:val="2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（二）部分公开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楷体" w:hAnsi="楷体" w:eastAsia="楷体" w:hint="eastAsia"/>
              </w:rPr>
              <w:t xml:space="preserve">（区分处理的，只计这一情形，不计其他情形）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（三）不予公开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1.属于国家秘密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2.其他法律行政法规禁止公开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3.危及“三安全一稳定”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4.保护第三方合法权益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5.属于三类内部事务信息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6.属于四类过程性信息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7.属于行政执法案卷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8.属于行政查询事项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（四）无法提供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1.本机关不掌握相关政府信息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2.没有现成信息需要另行制作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3.补正后申请内容仍不明确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（五）不予处理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1.信访举报投诉类申请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1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1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2.重复申请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3.要求提供公开出版物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4.无正当理由大量反复申请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80" w:hRule="atLeast"/>
        </w:trPr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both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5.要求行政机关确认或重新出具已获取信息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（六）其他处理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both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1.申请人无正当理由逾期不补正、行政机关不再处理其政府信息公开申请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both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2.申请人逾期未按收费通知要求缴纳费用、行政机关不再处理其政府信息公开申请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1500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298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3.其他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73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4470" w:type="dxa"/>
            <w:gridSpan w:val="2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（七）总计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4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4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5220" w:type="dxa"/>
            <w:gridSpan w:val="3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start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四、结转下年度继续办理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60.000000"/>
              <w:right w:type="dxa" w:w="60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225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</w:tbl>
    <w:p>
      <w:pPr>
        <w:pStyle w:val="HtmlNormal"/>
        <w:keepNext w:val="0"/>
        <w:keepLines w:val="0"/>
        <w:jc w:val="start"/>
        <w:widowControl/>
        <w:suppressLineNumbers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585" w:lineRule="atLeast"/>
        <w:ind w:firstLine="0" w:left="0" w:right="0"/>
        <w:rPr>
          <w:vertAlign w:val="baseline"/>
          <w:i w:val="0"/>
          <w:color w:val="333333"/>
          <w:spacing w:val="0"/>
          <w:sz w:val="24"/>
          <w:szCs w:val="24"/>
          <w:iCs w:val="0"/>
          <w:shd w:val="clear" w:color="auto" w:fill="FFFFFF"/>
          <w:rFonts w:ascii="宋体" w:hAnsi="宋体" w:eastAsia="宋体" w:hint="eastAsia"/>
        </w:rPr>
      </w:pPr>
      <w:r>
        <w:rPr>
          <w:vertAlign w:val="baseline"/>
          <w:i w:val="0"/>
          <w:color w:val="333333"/>
          <w:spacing w:val="0"/>
          <w:sz w:val="24"/>
          <w:szCs w:val="24"/>
          <w:iCs w:val="0"/>
          <w:shd w:val="clear" w:color="auto" w:fill="FFFFFF"/>
          <w:rFonts w:ascii="宋体" w:hAnsi="宋体" w:eastAsia="宋体" w:hint="eastAsia"/>
        </w:rPr>
        <w:t xml:space="preserve">   </w:t>
      </w:r>
      <w:r>
        <w:rPr>
          <w:vertAlign w:val="baseline"/>
          <w:b w:val="0"/>
          <w:i w:val="0"/>
          <w:color w:val="333333"/>
          <w:spacing w:val="0"/>
          <w:sz w:val="31"/>
          <w:szCs w:val="31"/>
          <w:bCs w:val="0"/>
          <w:iCs w:val="0"/>
          <w:shd w:val="clear" w:color="auto" w:fill="FFFFFF"/>
          <w:rFonts w:ascii="黑体" w:hAnsi="宋体" w:eastAsia="黑体" w:hint="eastAsia"/>
        </w:rPr>
        <w:t xml:space="preserve">四、政府信息公开行政复议、行政诉讼情况</w:t>
      </w:r>
      <w:r>
        <w:rPr>
          <w:i w:val="0"/>
          <w:color w:val="000000"/>
          <w:spacing w:val="0"/>
          <w:sz w:val="32"/>
          <w:szCs w:val="32"/>
          <w:iCs w:val="0"/>
          <w:rFonts w:ascii="仿宋" w:hAnsi="仿宋" w:eastAsia="仿宋" w:hint="eastAsia"/>
        </w:rPr>
      </w:r>
    </w:p>
    <w:tbl>
      <w:tblPr>
        <w:tblW w:w="9750" w:type="dxa"/>
        <w:jc w:val="center"/>
        <w:tblInd w:type="dxa" w:w="-105.000000"/>
        <w:tblLayout w:type="autofit"/>
        <w:shd w:val="clear" w:color="auto" w:fill="FFFFFF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type="dxa" w:w="0.000000"/>
          <w:bottom w:type="dxa" w:w="0.000000"/>
          <w:left w:type="dxa" w:w="105.000000"/>
          <w:right w:type="dxa" w:w="105.000000"/>
        </w:tblCellMar>
      </w:tblPr>
      <w:tblGrid>
        <w:gridCol w:w="641.000000"/>
        <w:gridCol w:w="641.000000"/>
        <w:gridCol w:w="641.000000"/>
        <w:gridCol w:w="641.000000"/>
        <w:gridCol w:w="641.000000"/>
        <w:gridCol w:w="641.000000"/>
        <w:gridCol w:w="641.000000"/>
        <w:gridCol w:w="641.000000"/>
        <w:gridCol w:w="641.000000"/>
        <w:gridCol w:w="642.000000"/>
        <w:gridCol w:w="642.000000"/>
        <w:gridCol w:w="642.000000"/>
        <w:gridCol w:w="642.000000"/>
        <w:gridCol w:w="642.000000"/>
        <w:gridCol w:w="771.0000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3210" w:type="dxa"/>
            <w:gridSpan w:val="5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行政复议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545" w:type="dxa"/>
            <w:gridSpan w:val="10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行政诉讼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645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结果维持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纠正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其他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尚未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审结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restart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总计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3210" w:type="dxa"/>
            <w:gridSpan w:val="5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未经复议直接起诉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3339" w:type="dxa"/>
            <w:gridSpan w:val="5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复议后起诉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c>
          <w:tcPr>
            <w:tcW w:w="64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645" w:type="dxa"/>
            <w:vMerge w:val="continue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Normal"/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32"/>
                <w:szCs w:val="32"/>
                <w:iCs w:val="0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维持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纠正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其他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尚未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审结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总计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维持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纠正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其他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结果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尚未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lang w:eastAsia="zh-CN"/>
                <w:szCs w:val="19"/>
                <w:iCs w:val="0"/>
                <w:rFonts w:ascii="宋体" w:hAnsi="宋体" w:eastAsia="宋体" w:hint="eastAsia"/>
              </w:rPr>
            </w:r>
          </w:p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审结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宋体" w:hAnsi="宋体" w:eastAsia="宋体" w:hint="eastAsia"/>
              </w:rPr>
              <w:t xml:space="preserve">总计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75" w:hRule="atLeast"/>
        </w:trPr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jc w:val="center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afterAutospacing="0" w:before="0" w:beforeAutospacing="0" w:line="585" w:lineRule="atLeast"/>
              <w:ind w:firstLine="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  <w:tc>
          <w:tcPr>
            <w:tcW w:w="645" w:type="dxa"/>
            <w:vAlign w:val="top"/>
            <w:shd w:val="clear" w:color="auto" w:fill="FFFFFF"/>
            <w:tcMar>
              <w:top w:type="dxa" w:w="0.000000"/>
              <w:bottom w:type="dxa" w:w="0.000000"/>
              <w:left w:type="dxa" w:w="105.000000"/>
              <w:right w:type="dxa" w:w="105.000000"/>
            </w:tcMar>
            <w:textDirection w:val="lrTb"/>
          </w:tcPr>
          <w:p>
            <w:pPr>
              <w:pStyle w:val="HtmlNormal"/>
              <w:keepNext w:val="0"/>
              <w:keepLines w:val="0"/>
              <w:widowControl/>
              <w:suppressLineNumbers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225" w:afterAutospacing="0" w:before="0" w:beforeAutospacing="0" w:line="585" w:lineRule="atLeast"/>
              <w:ind w:firstLine="420" w:left="0" w:right="0"/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</w:pP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仿宋"/>
              </w:rPr>
              <w:t xml:space="preserve"> </w:t>
            </w:r>
            <w:r>
              <w:rPr>
                <w:vertAlign w:val="baseline"/>
                <w:i w:val="0"/>
                <w:color w:val="000000"/>
                <w:spacing w:val="0"/>
                <w:sz w:val="19"/>
                <w:szCs w:val="19"/>
                <w:iCs w:val="0"/>
                <w:rFonts w:ascii="Calibri" w:hAnsi="Calibri" w:eastAsia="宋体"/>
              </w:rPr>
              <w:t xml:space="preserve">0</w:t>
            </w:r>
            <w:r>
              <w:rPr>
                <w:color w:val="000000"/>
                <w:sz w:val="32"/>
                <w:szCs w:val="32"/>
                <w:rFonts w:ascii="仿宋" w:hAnsi="仿宋" w:eastAsia="仿宋" w:hint="eastAsia"/>
              </w:rPr>
            </w:r>
          </w:p>
        </w:tc>
      </w:tr>
    </w:tbl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numPr>
          <w:ilvl w:val="0"/>
          <w:numId w:val="1"/>
        </w:numPr>
        <w:spacing w:line="560" w:lineRule="exact"/>
        <w:ind w:firstLine="640" w:firstLineChars="200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  <w:t xml:space="preserve">存在的主要问题及改进情况</w:t>
      </w:r>
      <w:r>
        <w:rPr>
          <w:sz w:val="32"/>
          <w:szCs w:val="32"/>
          <w:rFonts w:ascii="黑体" w:hAnsi="黑体" w:eastAsia="黑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numPr>
          <w:ilvl w:val="0"/>
          <w:numId w:val="0"/>
        </w:numPr>
        <w:spacing w:line="560" w:lineRule="exact"/>
        <w:ind w:firstLine="640" w:firstLineChars="200"/>
        <w:rPr>
          <w:spacing w:val="0"/>
          <w:sz w:val="32"/>
          <w:szCs w:val="32"/>
          <w:rFonts w:ascii="仿宋" w:hAnsi="仿宋" w:eastAsia="仿宋" w:hint="eastAsia"/>
        </w:rPr>
      </w:pPr>
      <w:r>
        <w:rPr>
          <w:spacing w:val="0"/>
          <w:sz w:val="32"/>
          <w:szCs w:val="32"/>
          <w:rFonts w:ascii="仿宋" w:hAnsi="仿宋" w:eastAsia="仿宋" w:hint="eastAsia"/>
        </w:rPr>
        <w:t xml:space="preserve">一年来，</w:t>
      </w:r>
      <w:r>
        <w:rPr>
          <w:spacing w:val="0"/>
          <w:sz w:val="32"/>
          <w:lang w:eastAsia="zh-CN"/>
          <w:szCs w:val="32"/>
          <w:rFonts w:ascii="仿宋" w:hAnsi="仿宋" w:eastAsia="仿宋" w:hint="eastAsia"/>
        </w:rPr>
        <w:t xml:space="preserve">别拉洪乡</w:t>
      </w:r>
      <w:r>
        <w:rPr>
          <w:spacing w:val="0"/>
          <w:sz w:val="32"/>
          <w:szCs w:val="32"/>
          <w:rFonts w:ascii="仿宋" w:hAnsi="仿宋" w:eastAsia="仿宋" w:hint="eastAsia"/>
        </w:rPr>
        <w:t xml:space="preserve">虽然在政府信息公开方面做了大量工作，取得了一定成效，但与上级要求和人民群众的期盼相比，还存在一定差距。一是主动公开意识不强，部分信息公开不够及时；二是公开内容不够全面，政策解读与群众关心的热点难点问题公开较少；三是公开方式和渠道不够多元化，集中于政府网站，公众参与度不高；四是部分领导、干部对政府信息公开认识有误区，片面认为分管业务领域与信息公开无关，对信息公开工作配合度不高，信息共享有短板。下一步，我</w:t>
      </w:r>
      <w:r>
        <w:rPr>
          <w:spacing w:val="0"/>
          <w:sz w:val="32"/>
          <w:lang w:val="en-US" w:eastAsia="zh-CN"/>
          <w:szCs w:val="32"/>
          <w:rFonts w:ascii="仿宋" w:hAnsi="仿宋" w:eastAsia="仿宋" w:hint="eastAsia"/>
        </w:rPr>
        <w:t xml:space="preserve">乡</w:t>
      </w:r>
      <w:r>
        <w:rPr>
          <w:spacing w:val="0"/>
          <w:sz w:val="32"/>
          <w:szCs w:val="32"/>
          <w:rFonts w:ascii="仿宋" w:hAnsi="仿宋" w:eastAsia="仿宋" w:hint="eastAsia"/>
        </w:rPr>
        <w:t xml:space="preserve">将继续贯彻落实《中华人民共和国政府信息公开条例》和上级政府对政务公开工作的各项要求，不断强化公开意识，继续加强政府信息公开工作，着重突出人民群众关注的重点信息，及时回应社会关切问题，正确引导社会舆论。</w:t>
      </w:r>
      <w:r>
        <w:rPr>
          <w:spacing w:val="0"/>
          <w:sz w:val="32"/>
          <w:lang w:val="en-US" w:eastAsia="zh-CN"/>
          <w:szCs w:val="32"/>
          <w:rFonts w:ascii="仿宋" w:hAnsi="仿宋" w:eastAsia="仿宋" w:hint="eastAsia"/>
        </w:rPr>
        <w:t xml:space="preserve">一</w:t>
      </w:r>
      <w:r>
        <w:rPr>
          <w:spacing w:val="0"/>
          <w:sz w:val="32"/>
          <w:szCs w:val="32"/>
          <w:rFonts w:ascii="仿宋" w:hAnsi="仿宋" w:eastAsia="仿宋" w:hint="eastAsia"/>
        </w:rPr>
        <w:t xml:space="preserve">是进一步丰富信息公开渠道，通过乡村广播、运用</w:t>
      </w:r>
      <w:r>
        <w:rPr>
          <w:spacing w:val="0"/>
          <w:sz w:val="32"/>
          <w:lang w:val="en-US" w:eastAsia="zh-CN"/>
          <w:szCs w:val="32"/>
          <w:rFonts w:ascii="仿宋" w:hAnsi="仿宋" w:eastAsia="仿宋" w:hint="eastAsia"/>
        </w:rPr>
        <w:t xml:space="preserve">村微信群、朋友圈</w:t>
      </w:r>
      <w:r>
        <w:rPr>
          <w:spacing w:val="0"/>
          <w:sz w:val="32"/>
          <w:szCs w:val="32"/>
          <w:rFonts w:ascii="仿宋" w:hAnsi="仿宋" w:eastAsia="仿宋" w:hint="eastAsia"/>
        </w:rPr>
        <w:t xml:space="preserve">等新媒体多种形式围绕人民群众关注的重点进行主动回应，努力实现信息的及时性、有效性。</w:t>
      </w:r>
      <w:r>
        <w:rPr>
          <w:spacing w:val="0"/>
          <w:sz w:val="32"/>
          <w:lang w:val="en-US" w:eastAsia="zh-CN"/>
          <w:szCs w:val="32"/>
          <w:rFonts w:ascii="仿宋" w:hAnsi="仿宋" w:eastAsia="仿宋" w:hint="eastAsia"/>
        </w:rPr>
        <w:t xml:space="preserve">二</w:t>
      </w:r>
      <w:r>
        <w:rPr>
          <w:spacing w:val="0"/>
          <w:sz w:val="32"/>
          <w:rFonts w:ascii="仿宋" w:hAnsi="仿宋" w:eastAsia="仿宋" w:hint="eastAsia"/>
        </w:rPr>
        <w:t xml:space="preserve">是加强业务学习和培训，进一步提高</w:t>
      </w:r>
      <w:r>
        <w:rPr>
          <w:u w:val="none"/>
          <w:spacing w:val="0"/>
          <w:sz w:val="32"/>
          <w:rFonts w:ascii="仿宋" w:hAnsi="仿宋" w:eastAsia="仿宋" w:hint="eastAsia"/>
        </w:rPr>
        <w:t xml:space="preserve">乡</w:t>
      </w:r>
      <w:r>
        <w:rPr>
          <w:spacing w:val="0"/>
          <w:sz w:val="32"/>
          <w:szCs w:val="32"/>
          <w:rFonts w:ascii="仿宋" w:hAnsi="仿宋" w:eastAsia="仿宋" w:hint="eastAsia"/>
        </w:rPr>
        <w:t xml:space="preserve">村干部对政务公开工作重要性的认识，加强对政府信息公开和办事公开业务的熟练度。</w:t>
      </w:r>
      <w:r>
        <w:rPr>
          <w:spacing w:val="0"/>
          <w:sz w:val="32"/>
          <w:lang w:val="en-US" w:eastAsia="zh-CN"/>
          <w:szCs w:val="32"/>
          <w:rFonts w:ascii="仿宋" w:hAnsi="仿宋" w:eastAsia="仿宋" w:hint="eastAsia"/>
        </w:rPr>
        <w:t xml:space="preserve">三</w:t>
      </w:r>
      <w:r>
        <w:rPr>
          <w:spacing w:val="0"/>
          <w:sz w:val="32"/>
          <w:szCs w:val="32"/>
          <w:rFonts w:ascii="仿宋" w:hAnsi="仿宋" w:eastAsia="仿宋" w:hint="eastAsia"/>
        </w:rPr>
        <w:t xml:space="preserve">是进一步规范政府信息公开工作流程，确保政府信息公开工作能按照既定的工作流程有效运作，使信息公开工作更具有操作性。同时加强对公开信息的保密审查工作，确保公开信息不涉及国家秘密、商业秘密和个人隐私。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  <w:t xml:space="preserve">六、其他需要报告的事项</w:t>
      </w:r>
      <w:r>
        <w:rPr>
          <w:sz w:val="32"/>
          <w:szCs w:val="32"/>
          <w:rFonts w:ascii="黑体" w:hAnsi="黑体" w:eastAsia="黑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  <w:t xml:space="preserve">本年度，我</w:t>
      </w:r>
      <w:r>
        <w:rPr>
          <w:sz w:val="32"/>
          <w:lang w:val="en-US" w:eastAsia="zh-CN"/>
          <w:szCs w:val="32"/>
          <w:rFonts w:ascii="仿宋" w:hAnsi="仿宋" w:eastAsia="仿宋" w:hint="eastAsia"/>
        </w:rPr>
        <w:t xml:space="preserve">乡</w:t>
      </w:r>
      <w:r>
        <w:rPr>
          <w:sz w:val="32"/>
          <w:szCs w:val="32"/>
          <w:rFonts w:ascii="仿宋" w:hAnsi="仿宋" w:eastAsia="仿宋" w:hint="eastAsia"/>
        </w:rPr>
        <w:t xml:space="preserve">未收取信息处理费。无其他需要报告的事项。   </w:t>
      </w: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1"/>
        <w:widowControl w:val="off"/>
        <w:spacing w:line="560" w:lineRule="exact"/>
        <w:ind w:firstLine="640" w:firstLineChars="200"/>
        <w:rPr>
          <w:sz w:val="32"/>
          <w:szCs w:val="32"/>
          <w:rFonts w:ascii="仿宋" w:hAnsi="仿宋" w:eastAsia="仿宋" w:hint="eastAsia"/>
        </w:rPr>
      </w:pPr>
      <w:r>
        <w:rPr>
          <w:sz w:val="32"/>
          <w:szCs w:val="32"/>
          <w:rFonts w:ascii="仿宋" w:hAnsi="仿宋" w:eastAsia="仿宋" w:hint="eastAsia"/>
        </w:rPr>
      </w:r>
    </w:p>
    <w:p>
      <w:pPr>
        <w:pStyle w:val="Normal"/>
        <w:keepNext w:val="0"/>
        <w:keepLines w:val="0"/>
        <w:jc w:val="start"/>
        <w:widowControl/>
        <w:suppressLineNumbers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afterAutospacing="0" w:before="0" w:beforeAutospacing="0" w:line="600" w:lineRule="atLeast"/>
        <w:ind w:left="0" w:right="0"/>
        <w:rPr>
          <w:color w:val="000000"/>
          <w:sz w:val="32"/>
          <w:szCs w:val="32"/>
          <w:rFonts w:ascii="仿宋" w:hAnsi="仿宋" w:eastAsia="仿宋" w:hint="eastAsia"/>
        </w:rPr>
      </w:pPr>
      <w:r>
        <w:rPr>
          <w:color w:val="000000"/>
          <w:sz w:val="32"/>
          <w:szCs w:val="32"/>
          <w:rFonts w:ascii="仿宋" w:hAnsi="仿宋" w:eastAsia="仿宋"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97458B33"/>
    <w:multiLevelType w:val="singleLevel"/>
    <w:tmpl w:val="97458B33"/>
    <w:lvl w:ilvl="0">
      <w:start w:val="5"/>
      <w:numFmt w:val="chineseCounting"/>
      <w:suff w:val="nothing"/>
      <w:lvlText w:val="%1、"/>
      <w:lvlJc w:val="left"/>
      <w:pPr>
        <w:pStyle w:val="Normal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paragraph" w:styleId="Heading1">
    <w:name w:val="标题 1"/>
    <w:basedOn w:val="Normal"/>
    <w:link w:val="Normal"/>
    <w:pPr>
      <w:jc w:val="start"/>
      <w:outlineLvl w:val="0"/>
      <w:spacing w:after="100" w:afterAutospacing="1" w:before="100" w:beforeAutospacing="1" w:lineRule="auto"/>
    </w:pPr>
    <w:rPr>
      <w:b w:val="1"/>
      <w:sz w:val="48"/>
      <w:lang w:val="en-US" w:eastAsia="zh-CN" w:bidi="ar"/>
      <w:szCs w:val="48"/>
      <w:kern w:val="44"/>
      <w:bCs/>
      <w:rFonts w:ascii="宋体" w:hAnsi="宋体" w:eastAsia="宋体" w:hint="eastAsia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HtmlNormal">
    <w:name w:val="普通(网站)"/>
    <w:basedOn w:val="Normal"/>
    <w:link w:val="Normal"/>
    <w:pPr>
      <w:jc w:val="start"/>
      <w:spacing w:after="100" w:afterAutospacing="1" w:before="100" w:beforeAutospacing="1" w:lineRule="auto"/>
      <w:ind w:left="0" w:right="0"/>
    </w:pPr>
    <w:rPr>
      <w:sz w:val="24"/>
      <w:lang w:val="en-US" w:eastAsia="zh-CN" w:bidi="ar"/>
      <w:kern w:val="0"/>
    </w:rPr>
  </w:style>
  <w:style w:type="character" w:styleId="Hyperlink">
    <w:name w:val="超链接"/>
    <w:basedOn w:val="NormalCharacter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