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60" w:lineRule="exact"/>
        <w:ind w:left="450" w:right="45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年政府信息公开工作年度报告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年，抚远市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根据《中华人民共和国政府信息公开条例》要求，结合我局信息公开工作实际，大力推行政务公开，不断增强政府信息公开实效，现将我局202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年度政府信息公开工作开展情况报告如下：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2023年，主动公开对外服务事项30条，发布工作动态、政策宣传等信息共52条。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，结合医保部门职责，坚持“以公开为常态、不公开为例外”原则，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2023年，医保局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收到和处理政府信息公开申请0件，无因政府信息公开申请行政复议、提起行政诉讼的情况。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我局有全职信息员1名，负责我局政府信息公开工作，修订完善政务公开标准规范清单，保障政务公开有序推进。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充分利用抚远市人民政府网、黑龙江政务服务网加大医保政策、医保经办政务服务事项清单和办事流程指南告知书的公示力度，保证群众可以在官方网站查询到医保部门服务事项。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局政务公开工作领导小组发挥监督作用，领导小组成员履职尽责，定期对政务公开的日常工作进行监督、检查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信息更新发布严格落实三级审核机制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规范信息发布。本年度未发生政府信息公开工作责任追究结果情况。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局在政府信息公开工作上虽然取得了一定成效，但仍存在一些不足之处，如政策解读的质量还不够高，政务公开业务水平仍需持续提升等。下一步，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局将通过以下措施加以改进：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积极探索多样化政策解读，不断丰富解读材料形式，探索通过音频、图文、动漫等方式进行政策解读，提高解读质量，增强政策解读的实效。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加强业务培训，积极组织开展政府信息公开业务学习和培训，进一步增强干部职工政府信息公开责任意识，努力提高全局政府信息公开业务水平。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960" w:firstLineChars="30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我局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未收取信息处理费，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A5972"/>
    <w:multiLevelType w:val="singleLevel"/>
    <w:tmpl w:val="989A597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zI4MTc4YzQ5OTVmMzVmNjdiZjUwNGUzNmU4YjUifQ=="/>
  </w:docVars>
  <w:rsids>
    <w:rsidRoot w:val="08926E52"/>
    <w:rsid w:val="086A26C1"/>
    <w:rsid w:val="08926E52"/>
    <w:rsid w:val="11304A0F"/>
    <w:rsid w:val="18376EC9"/>
    <w:rsid w:val="3E2F19F2"/>
    <w:rsid w:val="3EB1020F"/>
    <w:rsid w:val="42B26C04"/>
    <w:rsid w:val="56183E0B"/>
    <w:rsid w:val="6AC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2024-01-16T03:01:00Z</dcterms:created>
  <dc:creator>A.   </dc:creator>
  <cp:lastModifiedBy>孙维思</cp:lastModifiedBy>
  <dcterms:modified xsi:type="dcterms:W3CDTF">2024-01-25T06:30:42Z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0D58C595A42A4BAE9F69A549F261DAC9_11</vt:lpwstr>
  </property>
</Properties>
</file>