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年政府信息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工作年度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告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一、总体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市市场监督管理局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政府信息公开工作在市政府的领导下，认真贯彻省市关于政务公开相关文件精神，坚持以公开为常态、不公开为例外，聚焦食药安全、产品质量、消费维权、知识产权等重点领域，主动回应社会关切，全力推进政务公开标准化、规范化建设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(一）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主动公开情况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我局高度重视政府信息公开工作，加强新媒体的建设、管理和运用不断拓宽信息公开渠道，及时主动公开应公开信息。在政府网站及时更新工作动态，重点公开食品经营许可遗失声明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食药检测结果、知识产权、产品监管等内容，及时回应群众关切，202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年全年公开各类政府信息共计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共计374条，其中政府网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发布79 条、公众号上传 295 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(二）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依申请公开情况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严格按照依申请工作要求，推进依申请公开标准化规范化建设，规范工作流程。推动依申请公开向主动公开转化，提升依申请公开工作服务作用。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配齐配强政务公开工作人员，调整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市场监督管理局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政务信息公开领导小组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，负责政务信息公开日常工作的统筹和协调。定期召开专题会议，研究部署政务公开工作，分管领导定期进行政务公开工作汇报，逐步提高政府信息公开发布的实效性、准确性、保密性。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（四）政府信息公开平台建设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充分发挥我局政府网站和微信公众号新媒体平台作用，加强宣传重要政策信息和涉及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市场监管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系统相关工作动态，进一步扩大政务公开的覆盖面和影响力。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结合工作实际情况，严格执行保密审查、主动公开、依申请公开、信息发布等一系列规章制度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在信息发布程序，健全信息公开动作机制。及时编制更新指南目录，对政府公开进行有效规范。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主动公开政府信息情况</w:t>
      </w:r>
    </w:p>
    <w:tbl>
      <w:tblPr>
        <w:tblStyle w:val="3"/>
        <w:tblpPr w:leftFromText="180" w:rightFromText="180" w:vertAnchor="text" w:horzAnchor="page" w:tblpX="1320" w:tblpY="2"/>
        <w:tblOverlap w:val="never"/>
        <w:tblW w:w="9735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07"/>
              </w:tabs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1663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三、收到和处理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page" w:tblpX="1319" w:tblpY="1098"/>
        <w:tblOverlap w:val="never"/>
        <w:tblW w:w="9617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559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71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559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 xml:space="preserve">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2023年，我局在政府信息公开方面初有成效，但仍存在一些不足：如政策精准定向供给方面，与群众需求还有一定差距；政府信息公开更新频率仍需进一步提高；政策解读方式较单一，缺乏创新性、多元性。下阶段，我局将采取更有力的措施，加强业务培训，不断提升基层政务公开人员的工作能力；充分发挥政务新媒体优势，及时通过政务新媒体公开发布政府信息，提升政策发布解读质量和政民互动水平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我局2023年未收取信息处理费，无其他需要报告事项。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p/>
    <w:sectPr>
      <w:pgSz w:w="11906" w:h="16838"/>
      <w:pgMar w:top="1327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OTc0ODRkMmM5NDhhOTVlNTkzOTY2M2QwNmRiMTMifQ=="/>
  </w:docVars>
  <w:rsids>
    <w:rsidRoot w:val="78182509"/>
    <w:rsid w:val="7818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2024-01-26T02:59:00Z</dcterms:created>
  <dc:creator>WPS_1541670297</dc:creator>
  <cp:lastModifiedBy>WPS_1541670297</cp:lastModifiedBy>
  <dcterms:modified xsi:type="dcterms:W3CDTF">2024-01-26T03:00:07Z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86198B878FD340C8AC4C8F9E34BDF5E5_11</vt:lpwstr>
  </property>
</Properties>
</file>