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45" w:rsidRPr="007956CF" w:rsidRDefault="00BF6045" w:rsidP="00BF6045">
      <w:pPr>
        <w:spacing w:line="520" w:lineRule="exact"/>
        <w:jc w:val="center"/>
        <w:rPr>
          <w:rFonts w:ascii="黑体" w:eastAsia="黑体" w:hAnsi="黑体" w:cs="宋体"/>
          <w:sz w:val="44"/>
          <w:szCs w:val="44"/>
        </w:rPr>
      </w:pPr>
      <w:r w:rsidRPr="007956CF">
        <w:rPr>
          <w:rFonts w:ascii="黑体" w:eastAsia="黑体" w:hAnsi="黑体" w:cs="宋体" w:hint="eastAsia"/>
          <w:sz w:val="44"/>
          <w:szCs w:val="44"/>
        </w:rPr>
        <w:t>信访局2020年政府信息公开</w:t>
      </w:r>
    </w:p>
    <w:p w:rsidR="00BF6045" w:rsidRPr="007956CF" w:rsidRDefault="00BF6045" w:rsidP="00BF6045">
      <w:pPr>
        <w:spacing w:line="520" w:lineRule="exact"/>
        <w:jc w:val="center"/>
        <w:rPr>
          <w:rFonts w:ascii="黑体" w:eastAsia="黑体" w:hAnsi="黑体" w:cs="宋体"/>
          <w:sz w:val="44"/>
          <w:szCs w:val="44"/>
        </w:rPr>
      </w:pPr>
      <w:r w:rsidRPr="007956CF">
        <w:rPr>
          <w:rFonts w:ascii="黑体" w:eastAsia="黑体" w:hAnsi="黑体" w:cs="宋体" w:hint="eastAsia"/>
          <w:sz w:val="44"/>
          <w:szCs w:val="44"/>
        </w:rPr>
        <w:t>工作年度报告</w:t>
      </w:r>
    </w:p>
    <w:p w:rsidR="00EA5281" w:rsidRDefault="00EA5281" w:rsidP="00BF6045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Style w:val="a6"/>
          <w:rFonts w:ascii="黑体" w:eastAsia="黑体" w:hAnsi="黑体" w:cs="黑体"/>
          <w:spacing w:val="8"/>
          <w:sz w:val="32"/>
          <w:szCs w:val="32"/>
        </w:rPr>
      </w:pPr>
    </w:p>
    <w:p w:rsidR="00BF6045" w:rsidRDefault="00BF6045" w:rsidP="00BF6045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6"/>
          <w:rFonts w:ascii="黑体" w:eastAsia="黑体" w:hAnsi="黑体" w:cs="黑体" w:hint="eastAsia"/>
          <w:spacing w:val="8"/>
          <w:sz w:val="32"/>
          <w:szCs w:val="32"/>
        </w:rPr>
        <w:t>一、总体情况</w:t>
      </w:r>
    </w:p>
    <w:p w:rsidR="00BF6045" w:rsidRPr="00A77816" w:rsidRDefault="00BF6045" w:rsidP="00BF6045">
      <w:pPr>
        <w:pStyle w:val="a5"/>
        <w:widowControl/>
        <w:spacing w:before="0" w:beforeAutospacing="0" w:after="0" w:afterAutospacing="0" w:line="520" w:lineRule="exact"/>
        <w:jc w:val="both"/>
        <w:rPr>
          <w:rFonts w:asciiTheme="minorEastAsia" w:eastAsiaTheme="minorEastAsia" w:hAnsiTheme="minorEastAsia" w:cs="仿宋"/>
          <w:spacing w:val="8"/>
          <w:sz w:val="28"/>
          <w:szCs w:val="28"/>
        </w:rPr>
      </w:pPr>
      <w:r>
        <w:rPr>
          <w:rFonts w:ascii="仿宋" w:eastAsia="仿宋" w:hAnsi="仿宋" w:cs="仿宋" w:hint="eastAsia"/>
          <w:spacing w:val="8"/>
          <w:sz w:val="32"/>
          <w:szCs w:val="32"/>
        </w:rPr>
        <w:t xml:space="preserve">　　</w:t>
      </w:r>
      <w:r w:rsidR="0070575B" w:rsidRPr="00A77816">
        <w:rPr>
          <w:rFonts w:asciiTheme="minorEastAsia" w:eastAsiaTheme="minorEastAsia" w:hAnsiTheme="minorEastAsia" w:hint="eastAsia"/>
          <w:color w:val="333333"/>
          <w:sz w:val="28"/>
          <w:szCs w:val="28"/>
        </w:rPr>
        <w:t>2020年信访局严格按照</w:t>
      </w:r>
      <w:r w:rsidR="0070575B" w:rsidRPr="00A778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“公正、公平、便民”的总体原则及“及时、准确”的总体要求，认真贯彻落实《中华人民共和国政府信息公开条例》，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及时主动公开信息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，信访局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全面梳理现有的政务公开信息，将政策法规、公告公示、政务公开等信息纳入公开范围，主动接受社会各界和人民群众的监督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A5281">
        <w:rPr>
          <w:rFonts w:asciiTheme="minorEastAsia" w:eastAsiaTheme="minorEastAsia" w:hAnsiTheme="minorEastAsia"/>
          <w:sz w:val="28"/>
          <w:szCs w:val="28"/>
        </w:rPr>
        <w:t>及时进行信息公开</w:t>
      </w:r>
      <w:r w:rsidR="00EA5281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年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信访局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通过政府网站公告公示信息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17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条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加强重要政务信息的管理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77816" w:rsidRPr="00A77816">
        <w:rPr>
          <w:rFonts w:asciiTheme="minorEastAsia" w:eastAsiaTheme="minorEastAsia" w:hAnsiTheme="minorEastAsia"/>
          <w:sz w:val="28"/>
          <w:szCs w:val="28"/>
        </w:rPr>
        <w:t>对行政规范性文件实行常态化、动态化管理，方便公民、法人和其他组织查阅</w:t>
      </w:r>
      <w:r w:rsidR="00A77816" w:rsidRPr="00A77816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77816" w:rsidRPr="00A778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切实推进了全市</w:t>
      </w:r>
      <w:r w:rsidR="0070575B" w:rsidRPr="00A77816">
        <w:rPr>
          <w:rFonts w:asciiTheme="minorEastAsia" w:eastAsiaTheme="minorEastAsia" w:hAnsiTheme="minorEastAsia" w:hint="eastAsia"/>
          <w:color w:val="333333"/>
          <w:sz w:val="28"/>
          <w:szCs w:val="28"/>
          <w:shd w:val="clear" w:color="auto" w:fill="FFFFFF"/>
        </w:rPr>
        <w:t>政府信息公开工作。</w:t>
      </w:r>
    </w:p>
    <w:p w:rsidR="00BF6045" w:rsidRDefault="00BF6045" w:rsidP="00BF6045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Style w:val="a6"/>
          <w:rFonts w:ascii="黑体" w:eastAsia="黑体" w:hAnsi="黑体" w:cs="黑体"/>
          <w:b w:val="0"/>
          <w:spacing w:val="8"/>
          <w:sz w:val="32"/>
          <w:szCs w:val="32"/>
        </w:rPr>
      </w:pPr>
      <w:r>
        <w:rPr>
          <w:rStyle w:val="a6"/>
          <w:rFonts w:ascii="黑体" w:eastAsia="黑体" w:hAnsi="黑体" w:cs="黑体" w:hint="eastAsia"/>
          <w:spacing w:val="8"/>
          <w:sz w:val="32"/>
          <w:szCs w:val="32"/>
        </w:rPr>
        <w:t>二、主动公开政府信息情况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BF6045" w:rsidTr="008E7E56">
        <w:trPr>
          <w:trHeight w:val="567"/>
          <w:jc w:val="center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第二十条第（一）项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本年新制作数量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本年新公开数量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对外公开总数量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规章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规范性文件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第二十条第（五）项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上一年项目数量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本年增/减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处理决定数量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行政许可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其他对外管理服务事项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第二十条第（六）项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上一年项目数量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本年增/减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处理决定数量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行政处罚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行政强制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第二十条第（八）项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本年增/减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行政事业性收费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第二十条第（九）项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信息内容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采购总金额</w:t>
            </w:r>
          </w:p>
        </w:tc>
      </w:tr>
      <w:tr w:rsidR="00BF6045" w:rsidTr="008E7E56">
        <w:trPr>
          <w:trHeight w:val="567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政府集中采购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A7781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</w:t>
            </w:r>
            <w:r w:rsidR="00FF5AF3">
              <w:rPr>
                <w:rFonts w:ascii="宋体" w:hAnsi="宋体" w:cs="宋体" w:hint="eastAsia"/>
                <w:sz w:val="22"/>
              </w:rPr>
              <w:t>．</w:t>
            </w:r>
            <w:r w:rsidR="007956CF">
              <w:rPr>
                <w:rFonts w:ascii="宋体" w:hAnsi="宋体" w:cs="宋体" w:hint="eastAsia"/>
                <w:sz w:val="22"/>
              </w:rPr>
              <w:t>75</w:t>
            </w:r>
            <w:r w:rsidR="00A77816">
              <w:rPr>
                <w:rFonts w:ascii="宋体" w:hAnsi="宋体" w:cs="宋体" w:hint="eastAsia"/>
                <w:sz w:val="22"/>
              </w:rPr>
              <w:t>万元</w:t>
            </w:r>
          </w:p>
        </w:tc>
      </w:tr>
    </w:tbl>
    <w:p w:rsidR="00BF6045" w:rsidRDefault="00BF6045" w:rsidP="00BF6045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Style w:val="a6"/>
          <w:rFonts w:ascii="黑体" w:eastAsia="黑体" w:hAnsi="黑体" w:cs="黑体"/>
          <w:b w:val="0"/>
          <w:spacing w:val="8"/>
          <w:sz w:val="32"/>
          <w:szCs w:val="32"/>
        </w:rPr>
      </w:pPr>
      <w:r>
        <w:rPr>
          <w:rStyle w:val="a6"/>
          <w:rFonts w:ascii="黑体" w:eastAsia="黑体" w:hAnsi="黑体" w:cs="黑体" w:hint="eastAsia"/>
          <w:spacing w:val="8"/>
          <w:sz w:val="32"/>
          <w:szCs w:val="32"/>
        </w:rPr>
        <w:t>三、收到和处理政府信息公开申请情况</w:t>
      </w:r>
    </w:p>
    <w:tbl>
      <w:tblPr>
        <w:tblW w:w="9195" w:type="dxa"/>
        <w:jc w:val="center"/>
        <w:tblCellMar>
          <w:left w:w="0" w:type="dxa"/>
          <w:right w:w="0" w:type="dxa"/>
        </w:tblCellMar>
        <w:tblLook w:val="04A0"/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 w:rsidR="00BF6045" w:rsidTr="008E7E56">
        <w:trPr>
          <w:trHeight w:val="660"/>
          <w:jc w:val="center"/>
        </w:trPr>
        <w:tc>
          <w:tcPr>
            <w:tcW w:w="4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申请人情况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4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4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商业企业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科研机构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社会公益组织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法律服务机构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BF6045" w:rsidTr="008E7E56">
        <w:trPr>
          <w:trHeight w:val="660"/>
          <w:jc w:val="center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（一）予以公开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（三）不予公开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1.属于国家秘密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3.危及“三安全一稳定”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4.保护第三方合法权益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5.属于三类内部事务信息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6.属于四类过程性信息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7.属于行政执法案卷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8.属于行政查询事项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（四）无法提供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（五）不予处理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1.信访举报投诉类申请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2.重复申请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3.要求提供公开出版物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（六）其他处理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（七）总计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  <w:tr w:rsidR="00BF6045" w:rsidTr="008E7E56">
        <w:trPr>
          <w:trHeight w:val="660"/>
          <w:jc w:val="center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</w:tbl>
    <w:p w:rsidR="00BF6045" w:rsidRDefault="00BF6045" w:rsidP="00BF6045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6"/>
          <w:rFonts w:ascii="黑体" w:eastAsia="黑体" w:hAnsi="黑体" w:cs="黑体" w:hint="eastAsia"/>
          <w:spacing w:val="8"/>
          <w:sz w:val="32"/>
          <w:szCs w:val="32"/>
        </w:rPr>
        <w:t>四、政府信息公开行政复议、行政诉讼情况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BF6045" w:rsidTr="008E7E56">
        <w:trPr>
          <w:trHeight w:val="691"/>
          <w:jc w:val="center"/>
        </w:trPr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行政诉讼</w:t>
            </w:r>
          </w:p>
        </w:tc>
      </w:tr>
      <w:tr w:rsidR="00BF6045" w:rsidTr="008E7E56">
        <w:trPr>
          <w:trHeight w:val="919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维持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结果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纠正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其他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结果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尚未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审结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总计</w:t>
            </w: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复议后起诉</w:t>
            </w:r>
          </w:p>
        </w:tc>
      </w:tr>
      <w:tr w:rsidR="00BF6045" w:rsidTr="008E7E56">
        <w:trPr>
          <w:trHeight w:val="1200"/>
          <w:jc w:val="center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</w:tr>
      <w:tr w:rsidR="00BF6045" w:rsidTr="008E7E56">
        <w:trPr>
          <w:trHeight w:val="120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lastRenderedPageBreak/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ind w:firstLineChars="100" w:firstLine="22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6045" w:rsidRDefault="00BF6045" w:rsidP="008E7E56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</w:tbl>
    <w:p w:rsidR="00EA5281" w:rsidRDefault="00EA5281" w:rsidP="00BF6045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Style w:val="a6"/>
          <w:rFonts w:ascii="黑体" w:eastAsia="黑体" w:hAnsi="黑体" w:cs="黑体"/>
          <w:spacing w:val="8"/>
          <w:sz w:val="32"/>
          <w:szCs w:val="32"/>
        </w:rPr>
      </w:pPr>
    </w:p>
    <w:p w:rsidR="00BF6045" w:rsidRDefault="00BF6045" w:rsidP="00EA5281">
      <w:pPr>
        <w:pStyle w:val="a5"/>
        <w:widowControl/>
        <w:spacing w:before="0" w:beforeAutospacing="0" w:after="0" w:afterAutospacing="0" w:line="520" w:lineRule="exact"/>
        <w:ind w:firstLineChars="200" w:firstLine="674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6"/>
          <w:rFonts w:ascii="黑体" w:eastAsia="黑体" w:hAnsi="黑体" w:cs="黑体" w:hint="eastAsia"/>
          <w:spacing w:val="8"/>
          <w:sz w:val="32"/>
          <w:szCs w:val="32"/>
        </w:rPr>
        <w:t>五、存在的主要问题及改进情况</w:t>
      </w:r>
    </w:p>
    <w:p w:rsidR="00FF5AF3" w:rsidRPr="00FF5AF3" w:rsidRDefault="00EA5281" w:rsidP="00EA5281">
      <w:pPr>
        <w:widowControl/>
        <w:spacing w:after="100" w:afterAutospacing="1" w:line="320" w:lineRule="atLeast"/>
        <w:ind w:firstLineChars="250" w:firstLine="70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Pr="00EA5281">
        <w:rPr>
          <w:rFonts w:asciiTheme="minorEastAsia" w:eastAsiaTheme="minorEastAsia" w:hAnsiTheme="minorEastAsia"/>
          <w:color w:val="000000"/>
          <w:sz w:val="28"/>
          <w:szCs w:val="28"/>
        </w:rPr>
        <w:t>年，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信访局</w:t>
      </w:r>
      <w:r w:rsidRPr="00EA5281">
        <w:rPr>
          <w:rFonts w:asciiTheme="minorEastAsia" w:eastAsiaTheme="minorEastAsia" w:hAnsiTheme="minorEastAsia"/>
          <w:color w:val="000000"/>
          <w:sz w:val="28"/>
          <w:szCs w:val="28"/>
        </w:rPr>
        <w:t>不存在因监管信息公开被申请行政复议、提起行政诉讼的情况，圆满完成全年政府信息公开工作。但在实际工作中还存在一些问题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，例如</w:t>
      </w:r>
      <w:r w:rsidR="00FF5AF3" w:rsidRPr="00FF5AF3">
        <w:rPr>
          <w:rFonts w:asciiTheme="minorEastAsia" w:eastAsiaTheme="minorEastAsia" w:hAnsiTheme="minorEastAsia" w:cs="宋体"/>
          <w:kern w:val="0"/>
          <w:sz w:val="28"/>
          <w:szCs w:val="28"/>
        </w:rPr>
        <w:t>信息公开工作还存在公开不及时、针对性不强、主动公开意识有待提高等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等，今后</w:t>
      </w:r>
      <w:r w:rsidR="00FF5AF3" w:rsidRPr="00FF5AF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信访局</w:t>
      </w:r>
      <w:r w:rsidR="00FF5AF3" w:rsidRPr="00FF5AF3">
        <w:rPr>
          <w:rFonts w:asciiTheme="minorEastAsia" w:eastAsiaTheme="minorEastAsia" w:hAnsiTheme="minorEastAsia" w:cs="宋体"/>
          <w:kern w:val="0"/>
          <w:sz w:val="28"/>
          <w:szCs w:val="28"/>
        </w:rPr>
        <w:t>将遵循政务信息公开相关要求，严格公开程序，加强对业务人员的管理和培训，提高信息公开服务意识，加大信息更新力度，全面提升政府信息公开工作质量和水平</w:t>
      </w:r>
      <w:r w:rsidR="00FF5AF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FF5AF3" w:rsidRDefault="00FF5AF3" w:rsidP="00FF5AF3">
      <w:pPr>
        <w:pStyle w:val="a5"/>
        <w:widowControl/>
        <w:spacing w:before="0" w:beforeAutospacing="0" w:after="0" w:afterAutospacing="0" w:line="520" w:lineRule="exact"/>
        <w:ind w:firstLine="690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 </w:t>
      </w:r>
      <w:r w:rsidR="00BF6045">
        <w:rPr>
          <w:rFonts w:ascii="黑体" w:eastAsia="黑体" w:hAnsi="黑体" w:cs="黑体" w:hint="eastAsia"/>
          <w:spacing w:val="8"/>
          <w:sz w:val="32"/>
          <w:szCs w:val="32"/>
        </w:rPr>
        <w:t xml:space="preserve">　　</w:t>
      </w:r>
    </w:p>
    <w:p w:rsidR="00BF6045" w:rsidRDefault="00BF6045" w:rsidP="00FF5AF3">
      <w:pPr>
        <w:pStyle w:val="a5"/>
        <w:widowControl/>
        <w:spacing w:before="0" w:beforeAutospacing="0" w:after="0" w:afterAutospacing="0" w:line="520" w:lineRule="exact"/>
        <w:ind w:firstLine="690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6"/>
          <w:rFonts w:ascii="黑体" w:eastAsia="黑体" w:hAnsi="黑体" w:cs="黑体" w:hint="eastAsia"/>
          <w:spacing w:val="8"/>
          <w:sz w:val="32"/>
          <w:szCs w:val="32"/>
        </w:rPr>
        <w:t>六、其他需要报告的事项</w:t>
      </w:r>
    </w:p>
    <w:p w:rsidR="00BF6045" w:rsidRDefault="00FF5AF3" w:rsidP="00BF6045">
      <w:pPr>
        <w:pStyle w:val="a5"/>
        <w:widowControl/>
        <w:spacing w:before="0" w:beforeAutospacing="0" w:after="0" w:afterAutospacing="0" w:line="520" w:lineRule="exact"/>
        <w:ind w:firstLine="672"/>
        <w:jc w:val="both"/>
        <w:rPr>
          <w:rFonts w:ascii="仿宋" w:eastAsia="仿宋" w:hAnsi="仿宋" w:cs="仿宋"/>
          <w:spacing w:val="8"/>
          <w:sz w:val="32"/>
          <w:szCs w:val="32"/>
        </w:rPr>
      </w:pPr>
      <w:r>
        <w:rPr>
          <w:rFonts w:ascii="仿宋" w:eastAsia="仿宋" w:hAnsi="仿宋" w:cs="仿宋" w:hint="eastAsia"/>
          <w:spacing w:val="8"/>
          <w:sz w:val="32"/>
          <w:szCs w:val="32"/>
        </w:rPr>
        <w:t>信访局无其他需要报告事项。</w:t>
      </w:r>
    </w:p>
    <w:p w:rsidR="000A5C46" w:rsidRDefault="008403C9"/>
    <w:sectPr w:rsidR="000A5C46" w:rsidSect="00F26761">
      <w:headerReference w:type="default" r:id="rId6"/>
      <w:footerReference w:type="default" r:id="rId7"/>
      <w:pgSz w:w="11906" w:h="16838"/>
      <w:pgMar w:top="1383" w:right="1800" w:bottom="1383" w:left="1800" w:header="851" w:footer="82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C9" w:rsidRDefault="008403C9" w:rsidP="009E6740">
      <w:r>
        <w:separator/>
      </w:r>
    </w:p>
  </w:endnote>
  <w:endnote w:type="continuationSeparator" w:id="0">
    <w:p w:rsidR="008403C9" w:rsidRDefault="008403C9" w:rsidP="009E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61" w:rsidRDefault="00397C5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F26761" w:rsidRDefault="00397C5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8340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956CF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C9" w:rsidRDefault="008403C9" w:rsidP="009E6740">
      <w:r>
        <w:separator/>
      </w:r>
    </w:p>
  </w:footnote>
  <w:footnote w:type="continuationSeparator" w:id="0">
    <w:p w:rsidR="008403C9" w:rsidRDefault="008403C9" w:rsidP="009E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61" w:rsidRDefault="008403C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045"/>
    <w:rsid w:val="00397C5E"/>
    <w:rsid w:val="006862BE"/>
    <w:rsid w:val="0070575B"/>
    <w:rsid w:val="007942D8"/>
    <w:rsid w:val="007956CF"/>
    <w:rsid w:val="0083400B"/>
    <w:rsid w:val="008403C9"/>
    <w:rsid w:val="009E6740"/>
    <w:rsid w:val="00A77816"/>
    <w:rsid w:val="00B97CE9"/>
    <w:rsid w:val="00BB1FE5"/>
    <w:rsid w:val="00BF6045"/>
    <w:rsid w:val="00E273CA"/>
    <w:rsid w:val="00EA5281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6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604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nhideWhenUsed/>
    <w:qFormat/>
    <w:rsid w:val="00BF6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F6045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604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sid w:val="00BF604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827">
      <w:bodyDiv w:val="1"/>
      <w:marLeft w:val="0"/>
      <w:marRight w:val="0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70824">
              <w:marLeft w:val="79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44">
                  <w:marLeft w:val="127"/>
                  <w:marRight w:val="127"/>
                  <w:marTop w:val="32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435">
                      <w:marLeft w:val="0"/>
                      <w:marRight w:val="0"/>
                      <w:marTop w:val="95"/>
                      <w:marBottom w:val="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2021-01-07T01:44:00Z</dcterms:created>
  <dcterms:modified xsi:type="dcterms:W3CDTF">2021-01-12T01:41:00Z</dcterms:modified>
</cp:coreProperties>
</file>