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民政局2020年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为切实做好政府信息公开工作年度报告工作，更好发挥政府信息公开工作年度报告的重要作用，依据《中华人民共和国政府信息公开条例》第五十条的要求及授权，和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年全市政府信息公开工作要点要求，结合工作实际，聚焦主题主线，对贯彻落实《中华人民共和国政府信息公开条例》情况进行综述，现主动公开政府信息情况做如下报告。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</w:rPr>
        <w:t>年，民政局信息公开工作在上级主管部门的正确领导下，做了大量工作，但标准还不够高，内容还不够全面，信息更新还需要更及时；公开形式的便民性在今后的工作中需要进一步提高。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我局无其他需要报告的事项。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5DFB"/>
    <w:rsid w:val="054E77F5"/>
    <w:rsid w:val="1AB17399"/>
    <w:rsid w:val="25B7461F"/>
    <w:rsid w:val="2E9D35AC"/>
    <w:rsid w:val="42042831"/>
    <w:rsid w:val="4B0D6327"/>
    <w:rsid w:val="536A6318"/>
    <w:rsid w:val="649B1985"/>
    <w:rsid w:val="6F0F1508"/>
    <w:rsid w:val="704C33D9"/>
    <w:rsid w:val="709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公文正文格式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2021-01-06T06:17:00Z</dcterms:created>
  <dc:creator>秩序与光荣</dc:creator>
  <cp:lastModifiedBy>WPS_1559544353</cp:lastModifiedBy>
  <cp:lastPrinted>2021-01-06T06:54:00Z</cp:lastPrinted>
  <dcterms:modified xsi:type="dcterms:W3CDTF">2021-02-01T01:05:57Z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