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tabs>
          <w:tab w:val="left" w:pos="6241"/>
        </w:tabs>
        <w:kinsoku/>
        <w:wordWrap/>
        <w:overflowPunct w:val="0"/>
        <w:topLinePunct w:val="0"/>
        <w:autoSpaceDE/>
        <w:autoSpaceDN/>
        <w:bidi w:val="0"/>
        <w:adjustRightInd w:val="0"/>
        <w:snapToGrid w:val="0"/>
        <w:spacing w:before="0" w:beforeAutospacing="0" w:after="0" w:afterAutospacing="0" w:line="640" w:lineRule="exact"/>
        <w:ind w:right="0"/>
        <w:jc w:val="both"/>
        <w:textAlignment w:val="auto"/>
        <w:outlineLvl w:val="9"/>
        <w:rPr>
          <w:rFonts w:hint="eastAsia" w:ascii="仿宋" w:hAnsi="仿宋" w:eastAsia="仿宋" w:cs="仿宋"/>
          <w:b w:val="0"/>
          <w:bCs/>
          <w:kern w:val="0"/>
          <w:sz w:val="32"/>
          <w:szCs w:val="32"/>
          <w:lang w:val="en-US" w:eastAsia="zh-CN" w:bidi="ar"/>
        </w:rPr>
      </w:pPr>
      <w:r>
        <w:rPr>
          <w:rFonts w:hint="eastAsia" w:ascii="仿宋" w:hAnsi="仿宋" w:eastAsia="仿宋" w:cs="仿宋"/>
          <w:b w:val="0"/>
          <w:bCs/>
          <w:kern w:val="0"/>
          <w:sz w:val="32"/>
          <w:szCs w:val="32"/>
          <w:lang w:val="en-US" w:eastAsia="zh-CN" w:bidi="ar"/>
        </w:rPr>
        <w:t>附件1</w:t>
      </w:r>
    </w:p>
    <w:p>
      <w:pPr>
        <w:spacing w:line="579" w:lineRule="exact"/>
        <w:jc w:val="left"/>
        <w:rPr>
          <w:rFonts w:hint="eastAsia" w:ascii="黑体" w:eastAsia="黑体"/>
          <w:szCs w:val="32"/>
        </w:rPr>
      </w:pPr>
    </w:p>
    <w:p>
      <w:pPr>
        <w:keepNext w:val="0"/>
        <w:keepLines w:val="0"/>
        <w:pageBreakBefore w:val="0"/>
        <w:widowControl w:val="0"/>
        <w:suppressLineNumbers w:val="0"/>
        <w:tabs>
          <w:tab w:val="left" w:pos="6241"/>
        </w:tabs>
        <w:kinsoku/>
        <w:wordWrap/>
        <w:overflowPunct w:val="0"/>
        <w:topLinePunct w:val="0"/>
        <w:autoSpaceDE/>
        <w:autoSpaceDN/>
        <w:bidi w:val="0"/>
        <w:adjustRightInd w:val="0"/>
        <w:snapToGrid w:val="0"/>
        <w:spacing w:before="0" w:beforeAutospacing="0" w:after="0" w:afterAutospacing="0" w:line="640" w:lineRule="exact"/>
        <w:ind w:right="0"/>
        <w:jc w:val="center"/>
        <w:textAlignment w:val="auto"/>
        <w:outlineLvl w:val="9"/>
        <w:rPr>
          <w:rFonts w:hint="eastAsia" w:ascii="微软简标宋" w:hAnsi="微软简标宋" w:eastAsia="微软简标宋" w:cs="微软简标宋"/>
          <w:b w:val="0"/>
          <w:bCs/>
          <w:kern w:val="0"/>
          <w:sz w:val="44"/>
          <w:szCs w:val="44"/>
          <w:lang w:val="en-US" w:eastAsia="zh-CN" w:bidi="ar"/>
        </w:rPr>
      </w:pPr>
      <w:r>
        <w:rPr>
          <w:rFonts w:hint="eastAsia" w:ascii="微软简标宋" w:hAnsi="微软简标宋" w:eastAsia="微软简标宋" w:cs="微软简标宋"/>
          <w:b w:val="0"/>
          <w:bCs/>
          <w:kern w:val="0"/>
          <w:sz w:val="44"/>
          <w:szCs w:val="44"/>
          <w:lang w:val="en-US" w:eastAsia="zh-CN" w:bidi="ar"/>
        </w:rPr>
        <w:t>安全生产标准化三级企业延期换证名单</w:t>
      </w:r>
    </w:p>
    <w:p>
      <w:pPr>
        <w:spacing w:line="579" w:lineRule="exact"/>
        <w:rPr>
          <w:rFonts w:hint="eastAsia" w:ascii="仿宋_GB2312"/>
          <w:szCs w:val="32"/>
        </w:rPr>
      </w:pPr>
    </w:p>
    <w:p>
      <w:pPr>
        <w:numPr>
          <w:ilvl w:val="0"/>
          <w:numId w:val="1"/>
        </w:numPr>
        <w:tabs>
          <w:tab w:val="left" w:pos="790"/>
        </w:tabs>
        <w:spacing w:line="579" w:lineRule="exact"/>
        <w:ind w:firstLine="640" w:firstLineChars="200"/>
        <w:rPr>
          <w:rFonts w:hint="eastAsia" w:ascii="仿宋" w:hAnsi="仿宋" w:eastAsia="仿宋" w:cs="仿宋"/>
          <w:b w:val="0"/>
          <w:bCs/>
          <w:kern w:val="0"/>
          <w:sz w:val="32"/>
          <w:szCs w:val="32"/>
          <w:lang w:val="en-US" w:eastAsia="zh-CN" w:bidi="ar"/>
        </w:rPr>
      </w:pPr>
      <w:r>
        <w:rPr>
          <w:rFonts w:hint="eastAsia" w:ascii="仿宋" w:hAnsi="仿宋" w:eastAsia="仿宋" w:cs="仿宋"/>
          <w:b w:val="0"/>
          <w:bCs/>
          <w:kern w:val="0"/>
          <w:sz w:val="32"/>
          <w:szCs w:val="32"/>
          <w:lang w:val="en-US" w:eastAsia="zh-CN" w:bidi="ar"/>
        </w:rPr>
        <w:t>中国石油天然气股份有限公司黑龙江佳木斯销售分公司抚远经营部东方第一加油站</w:t>
      </w:r>
    </w:p>
    <w:p>
      <w:pPr>
        <w:numPr>
          <w:ilvl w:val="0"/>
          <w:numId w:val="1"/>
        </w:numPr>
        <w:tabs>
          <w:tab w:val="left" w:pos="790"/>
        </w:tabs>
        <w:spacing w:line="579" w:lineRule="exact"/>
        <w:ind w:firstLine="640" w:firstLineChars="200"/>
        <w:rPr>
          <w:rFonts w:hint="eastAsia" w:ascii="仿宋" w:hAnsi="仿宋" w:eastAsia="仿宋" w:cs="仿宋"/>
          <w:b w:val="0"/>
          <w:bCs/>
          <w:kern w:val="0"/>
          <w:sz w:val="32"/>
          <w:szCs w:val="32"/>
          <w:lang w:val="en-US" w:eastAsia="zh-CN" w:bidi="ar"/>
        </w:rPr>
      </w:pPr>
      <w:r>
        <w:rPr>
          <w:rFonts w:hint="eastAsia" w:ascii="仿宋" w:hAnsi="仿宋" w:eastAsia="仿宋" w:cs="仿宋"/>
          <w:b w:val="0"/>
          <w:bCs/>
          <w:kern w:val="0"/>
          <w:sz w:val="32"/>
          <w:szCs w:val="32"/>
          <w:lang w:val="en-US" w:eastAsia="zh-CN" w:bidi="ar"/>
        </w:rPr>
        <w:t>中国石油天然气股份有限公司黑龙江佳木斯销售分公司抚远经营部第二加油站</w:t>
      </w:r>
    </w:p>
    <w:p>
      <w:pPr>
        <w:numPr>
          <w:ilvl w:val="0"/>
          <w:numId w:val="1"/>
        </w:numPr>
        <w:tabs>
          <w:tab w:val="left" w:pos="790"/>
        </w:tabs>
        <w:spacing w:line="579" w:lineRule="exact"/>
        <w:ind w:firstLine="640" w:firstLineChars="200"/>
        <w:rPr>
          <w:rFonts w:hint="eastAsia" w:ascii="仿宋" w:hAnsi="仿宋" w:eastAsia="仿宋" w:cs="仿宋"/>
          <w:b w:val="0"/>
          <w:bCs/>
          <w:kern w:val="0"/>
          <w:sz w:val="32"/>
          <w:szCs w:val="32"/>
          <w:lang w:val="en-US" w:eastAsia="zh-CN" w:bidi="ar"/>
        </w:rPr>
      </w:pPr>
      <w:r>
        <w:rPr>
          <w:rFonts w:hint="eastAsia" w:ascii="仿宋" w:hAnsi="仿宋" w:eastAsia="仿宋" w:cs="仿宋"/>
          <w:b w:val="0"/>
          <w:bCs/>
          <w:kern w:val="0"/>
          <w:sz w:val="32"/>
          <w:szCs w:val="32"/>
          <w:lang w:val="en-US" w:eastAsia="zh-CN" w:bidi="ar"/>
        </w:rPr>
        <w:t>中国石油天然气股份有限公司黑龙江佳木斯销售分公司抚远经营部浓桥加油站</w:t>
      </w:r>
    </w:p>
    <w:p>
      <w:pPr>
        <w:numPr>
          <w:ilvl w:val="0"/>
          <w:numId w:val="1"/>
        </w:numPr>
        <w:tabs>
          <w:tab w:val="left" w:pos="790"/>
        </w:tabs>
        <w:spacing w:line="579" w:lineRule="exact"/>
        <w:ind w:firstLine="640" w:firstLineChars="200"/>
        <w:rPr>
          <w:rFonts w:hint="eastAsia" w:ascii="仿宋" w:hAnsi="仿宋" w:eastAsia="仿宋" w:cs="仿宋"/>
          <w:b w:val="0"/>
          <w:bCs/>
          <w:kern w:val="0"/>
          <w:sz w:val="32"/>
          <w:szCs w:val="32"/>
          <w:lang w:val="en-US" w:eastAsia="zh-CN" w:bidi="ar"/>
        </w:rPr>
      </w:pPr>
      <w:r>
        <w:rPr>
          <w:rFonts w:hint="eastAsia" w:ascii="仿宋" w:hAnsi="仿宋" w:eastAsia="仿宋" w:cs="仿宋"/>
          <w:b w:val="0"/>
          <w:bCs/>
          <w:kern w:val="0"/>
          <w:sz w:val="32"/>
          <w:szCs w:val="32"/>
          <w:lang w:val="en-US" w:eastAsia="zh-CN" w:bidi="ar"/>
        </w:rPr>
        <w:t>中国石油天然气股份有限公司黑龙江佳木斯销售分公司抚远经营部寒葱沟加油站</w:t>
      </w:r>
    </w:p>
    <w:p>
      <w:pPr>
        <w:numPr>
          <w:ilvl w:val="0"/>
          <w:numId w:val="1"/>
        </w:numPr>
        <w:tabs>
          <w:tab w:val="left" w:pos="790"/>
        </w:tabs>
        <w:spacing w:line="579" w:lineRule="exact"/>
        <w:ind w:firstLine="640" w:firstLineChars="200"/>
        <w:rPr>
          <w:rFonts w:hint="eastAsia" w:ascii="仿宋" w:hAnsi="仿宋" w:eastAsia="仿宋" w:cs="仿宋"/>
          <w:b w:val="0"/>
          <w:bCs/>
          <w:kern w:val="0"/>
          <w:sz w:val="32"/>
          <w:szCs w:val="32"/>
          <w:lang w:val="en-US" w:eastAsia="zh-CN" w:bidi="ar"/>
        </w:rPr>
      </w:pPr>
      <w:r>
        <w:rPr>
          <w:rFonts w:hint="eastAsia" w:ascii="仿宋" w:hAnsi="仿宋" w:eastAsia="仿宋" w:cs="仿宋"/>
          <w:b w:val="0"/>
          <w:bCs/>
          <w:kern w:val="0"/>
          <w:sz w:val="32"/>
          <w:szCs w:val="32"/>
          <w:lang w:val="en-US" w:eastAsia="zh-CN" w:bidi="ar"/>
        </w:rPr>
        <w:t>中国石油天然气股份有限公司黑龙江佳木斯销售分公司抚远经营部别拉洪加油站</w:t>
      </w:r>
    </w:p>
    <w:p>
      <w:pPr>
        <w:numPr>
          <w:ilvl w:val="0"/>
          <w:numId w:val="1"/>
        </w:numPr>
        <w:tabs>
          <w:tab w:val="left" w:pos="790"/>
        </w:tabs>
        <w:spacing w:line="579" w:lineRule="exact"/>
        <w:ind w:firstLine="640" w:firstLineChars="200"/>
        <w:rPr>
          <w:rFonts w:hint="eastAsia" w:ascii="仿宋" w:hAnsi="仿宋" w:eastAsia="仿宋" w:cs="仿宋"/>
          <w:b w:val="0"/>
          <w:bCs/>
          <w:kern w:val="0"/>
          <w:sz w:val="32"/>
          <w:szCs w:val="32"/>
          <w:lang w:val="en-US" w:eastAsia="zh-CN" w:bidi="ar"/>
        </w:rPr>
      </w:pPr>
      <w:r>
        <w:rPr>
          <w:rFonts w:hint="eastAsia" w:ascii="仿宋" w:hAnsi="仿宋" w:eastAsia="仿宋" w:cs="仿宋"/>
          <w:b w:val="0"/>
          <w:bCs/>
          <w:kern w:val="0"/>
          <w:sz w:val="32"/>
          <w:szCs w:val="32"/>
          <w:lang w:val="en-US" w:eastAsia="zh-CN" w:bidi="ar"/>
        </w:rPr>
        <w:t>中国石油天然气股份有限公司黑龙江佳木斯销售分公司抚远经营部海青加油站</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简标宋">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C99F3A4"/>
    <w:multiLevelType w:val="singleLevel"/>
    <w:tmpl w:val="DC99F3A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BB4E20"/>
    <w:rsid w:val="30BB4E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2022-08-09T01:26:00Z</dcterms:created>
  <dc:creator>Administrator</dc:creator>
  <cp:lastModifiedBy>Administrator</cp:lastModifiedBy>
  <dcterms:modified xsi:type="dcterms:W3CDTF">2022-08-09T01:26:47Z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