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_GBK"/>
          <w:bCs/>
          <w:kern w:val="0"/>
          <w:sz w:val="36"/>
          <w:szCs w:val="36"/>
        </w:rPr>
        <w:t>“蓝盾护航”—2023年</w:t>
      </w:r>
      <w:r>
        <w:rPr>
          <w:rFonts w:hint="default" w:ascii="黑体" w:hAnsi="黑体" w:eastAsia="黑体" w:cs="方正小标宋_GBK"/>
          <w:bCs/>
          <w:kern w:val="0"/>
          <w:sz w:val="36"/>
          <w:szCs w:val="36"/>
        </w:rPr>
        <w:t>秋</w:t>
      </w:r>
      <w:r>
        <w:rPr>
          <w:rFonts w:hint="eastAsia" w:ascii="黑体" w:hAnsi="黑体" w:eastAsia="黑体" w:cs="方正小标宋_GBK"/>
          <w:bCs/>
          <w:kern w:val="0"/>
          <w:sz w:val="36"/>
          <w:szCs w:val="36"/>
        </w:rPr>
        <w:t>季学校卫生监督执法检查情况汇总表</w:t>
      </w:r>
      <w:bookmarkEnd w:id="0"/>
    </w:p>
    <w:tbl>
      <w:tblPr>
        <w:tblStyle w:val="3"/>
        <w:tblW w:w="14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2494"/>
        <w:gridCol w:w="675"/>
        <w:gridCol w:w="863"/>
        <w:gridCol w:w="863"/>
        <w:gridCol w:w="863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tblHeader/>
          <w:jc w:val="center"/>
        </w:trPr>
        <w:tc>
          <w:tcPr>
            <w:tcW w:w="43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项目</w:t>
            </w:r>
          </w:p>
        </w:tc>
        <w:tc>
          <w:tcPr>
            <w:tcW w:w="24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检查内容</w:t>
            </w: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小学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2586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九年一贯制学校</w:t>
            </w:r>
          </w:p>
        </w:tc>
        <w:tc>
          <w:tcPr>
            <w:tcW w:w="2586" w:type="dxa"/>
            <w:gridSpan w:val="3"/>
            <w:noWrap w:val="0"/>
            <w:vAlign w:val="center"/>
          </w:tcPr>
          <w:p>
            <w:pPr>
              <w:pStyle w:val="2"/>
              <w:tabs>
                <w:tab w:val="left" w:pos="1399"/>
              </w:tabs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高级中学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普通高校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4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城区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镇区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乡村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城区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镇区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乡村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城区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镇区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乡村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城区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镇区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乡村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传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染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病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防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控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传染病防控工作方案和应急处置预案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传染病疫情报告制度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晨午检制度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因病缺课/缺勤追踪登记制度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复课证明查验制度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健康管理制度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传染病防控健康教育制度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通风消毒制度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环境卫生检查制度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免疫预防接种查验制度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专兼职传染病疫情报告人员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应急处置：在校门口就近设置临时等候区、校内设置临时隔离室，位置相对独立</w:t>
            </w:r>
          </w:p>
        </w:tc>
        <w:tc>
          <w:tcPr>
            <w:tcW w:w="67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专兼职保健教师或卫生专业技术人员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1"/>
                <w:szCs w:val="21"/>
              </w:rPr>
              <w:t>累计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通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风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、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消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毒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每天至少开展2次预防性消毒且有消毒记录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消毒剂有卫生许可证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累计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生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活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饮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用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水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教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环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境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自建设施供水卫生许可证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二次设施供水卫生许可证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供管水人员健康合格证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具备资质的水质检验检测机构提供的水质检测报告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涉水产品有卫生许可批准文件和产品检验合格证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每间教室内最少设2种不同型号的课桌椅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学生每人一席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教室有照明灯和黑板灯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左侧采光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累计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30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近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视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眼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防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控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落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实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况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学校有加强视力健康管理队伍及职责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近视防控知识课程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落实学生每学期2次视力监测制度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每天做2次眼保健操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学校每天开展1小时以上体育活动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教室照明符合国家卫生标准（GB7793）要求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累计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30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游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泳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馆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卫生许可证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有效的监测报告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从业人员有健康合格证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池水循环净化消毒设施运转正常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补充新水系统运转正常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游泳池水质现场检测仪器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消毒剂使用、存放符合要求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累计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浴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池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卫生许可证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有效的监测报告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M2Y3NjE5N2E3YTQ3NDJkYmVmZTFmZGQwOGVlNzkifQ=="/>
  </w:docVars>
  <w:rsids>
    <w:rsidRoot w:val="2AA603C6"/>
    <w:rsid w:val="2AA6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2023-10-08T01:26:00Z</dcterms:created>
  <dc:creator>闭关中的戎酒</dc:creator>
  <cp:lastModifiedBy>闭关中的戎酒</cp:lastModifiedBy>
  <dcterms:modified xsi:type="dcterms:W3CDTF">2023-10-08T01:27:33Z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C192997D55E645A09B2C007F453D22A8_11</vt:lpwstr>
  </property>
</Properties>
</file>