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我要办城镇企业职工基本养老保险参保人员办理退休“一件事”办事流程</w:t>
      </w:r>
    </w:p>
    <w:p>
      <w:pPr>
        <w:spacing w:line="220" w:lineRule="atLeast"/>
      </w:pP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40" o:spid="_x0000_s1026" type="#_x0000_t32" style="position:absolute;left:0;margin-left:99.55pt;margin-top:22.7pt;height:0.05pt;width:162.35pt;rotation:0f;z-index:25166643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oundrect id="_x0000_s1032" o:spid="_x0000_s1027" style="position:absolute;left:0;margin-left:261.9pt;margin-top:0.15pt;height:46.95pt;width:93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申请人根据前置件目录提供前置件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ect id="_x0000_s1033" o:spid="_x0000_s1028" style="position:absolute;left:0;margin-left:0.6pt;margin-top:4.5pt;height:42.6pt;width:98.95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退回申请材料</w:t>
                  </w:r>
                </w:p>
                <w:p/>
              </w:txbxContent>
            </v:textbox>
          </v:rect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ect id="_x0000_s1031" o:spid="_x0000_s1029" style="position:absolute;left:0;margin-left:369.4pt;margin-top:41.5pt;height:45.05pt;width:98.3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前置件不齐全，一次性告知补充前置件</w:t>
                  </w:r>
                </w:p>
              </w:txbxContent>
            </v:textbox>
          </v:rect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39" o:spid="_x0000_s1030" type="#_x0000_t34" style="position:absolute;left:0;margin-left:355pt;margin-top:22.7pt;height:18.8pt;width:45.7pt;rotation:11796480f;z-index:251665408;" o:ole="f" fillcolor="#FFFFFF" filled="f" o:preferrelative="t" stroked="t" coordorigin="0,0" coordsize="21600,21600" adj="-142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37" o:spid="_x0000_s1031" type="#_x0000_t32" style="position:absolute;left:0;margin-left:318.05pt;margin-top:67.15pt;height:0.05pt;width:51.35pt;rotation:0f;z-index:25166438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71" o:spid="_x0000_s1032" type="#_x0000_t34" style="position:absolute;left:0;flip:x;margin-left:-4.75pt;margin-top:45.3pt;height:79pt;width:168.55pt;rotation:17694720f;z-index:251670528;" o:ole="f" fillcolor="#FFFFFF" filled="f" o:preferrelative="t" stroked="t" coordorigin="0,0" coordsize="21600,21600" adj="-116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36" o:spid="_x0000_s1033" type="#_x0000_t32" style="position:absolute;left:0;margin-left:318.05pt;margin-top:0.55pt;height:52.7pt;width:0.05pt;rotation:0f;z-index:25166336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ect id="_x0000_s1026" o:spid="_x0000_s1034" style="position:absolute;left:0;margin-left:251.1pt;margin-top:6.7pt;height:28.25pt;width:130.8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rect>
        </w:pict>
      </w:r>
    </w:p>
    <w:p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27" o:spid="_x0000_s1035" type="#_x0000_t32" style="position:absolute;left:0;margin-left:318.75pt;margin-top:11.65pt;height:27pt;width:0.05pt;rotation:0f;z-index:25165926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 xml:space="preserve">                </w:t>
      </w:r>
      <w:r>
        <w:rPr>
          <w:rFonts w:hint="eastAsia"/>
          <w:sz w:val="16"/>
          <w:szCs w:val="16"/>
        </w:rPr>
        <w:t>不符合会规定</w:t>
      </w:r>
    </w:p>
    <w:p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81" o:spid="_x0000_s1036" type="#_x0000_t32" style="position:absolute;left:0;margin-left:423.2pt;margin-top:14.95pt;height:25.55pt;width:0.05pt;rotation:0f;z-index:25167667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80" o:spid="_x0000_s1037" type="#_x0000_t32" style="position:absolute;left:0;margin-left:211pt;margin-top:14.95pt;height:0.05pt;width:212.25pt;rotation:0f;z-index:25167564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62" o:spid="_x0000_s1038" type="#_x0000_t32" style="position:absolute;left:0;margin-left:211pt;margin-top:14.95pt;height:26.55pt;width:0.05pt;rotation:0f;z-index:25166950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ect id="_x0000_s1074" o:spid="_x0000_s1039" style="position:absolute;left:0;margin-left:119.05pt;margin-top:18.2pt;height:77.7pt;width:192.85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right="560"/>
                    <w:jc w:val="center"/>
                    <w:rPr>
                      <w:rFonts w:ascii="微软雅黑" w:hAnsi="微软雅黑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/>
                      <w:sz w:val="16"/>
                      <w:szCs w:val="16"/>
                    </w:rPr>
                    <w:t xml:space="preserve">                        1、视同缴费年限认定</w:t>
                  </w:r>
                </w:p>
                <w:p>
                  <w:pPr>
                    <w:ind w:right="440"/>
                    <w:rPr>
                      <w:rFonts w:ascii="微软雅黑" w:hAnsi="微软雅黑"/>
                      <w:sz w:val="16"/>
                      <w:szCs w:val="16"/>
                    </w:rPr>
                  </w:pPr>
                  <w:r>
                    <w:rPr>
                      <w:rFonts w:hint="eastAsia" w:ascii="微软雅黑" w:hAnsi="微软雅黑"/>
                    </w:rPr>
                    <w:t xml:space="preserve">人社局          </w:t>
                  </w:r>
                  <w:r>
                    <w:rPr>
                      <w:rFonts w:hint="eastAsia" w:ascii="微软雅黑" w:hAnsi="微软雅黑"/>
                      <w:sz w:val="16"/>
                      <w:szCs w:val="16"/>
                    </w:rPr>
                    <w:t xml:space="preserve">2、职工正常退休(职)申请                   </w:t>
                  </w:r>
                </w:p>
                <w:p>
                  <w:pPr>
                    <w:ind w:right="400"/>
                    <w:jc w:val="center"/>
                    <w:rPr>
                      <w:rFonts w:ascii="微软雅黑" w:hAnsi="微软雅黑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/>
                      <w:sz w:val="16"/>
                      <w:szCs w:val="16"/>
                    </w:rPr>
                    <w:t xml:space="preserve">                       3、基本养老金待遇核定     </w:t>
                  </w:r>
                  <w:r>
                    <w:rPr>
                      <w:rFonts w:hint="eastAsia" w:ascii="微软雅黑" w:hAnsi="微软雅黑"/>
                      <w:sz w:val="14"/>
                      <w:szCs w:val="14"/>
                    </w:rPr>
                    <w:t xml:space="preserve">                    </w:t>
                  </w:r>
                  <w:r>
                    <w:rPr>
                      <w:rFonts w:hint="eastAsia" w:ascii="微软雅黑" w:hAnsi="微软雅黑"/>
                    </w:rPr>
                    <w:t xml:space="preserve"> </w:t>
                  </w:r>
                </w:p>
                <w:p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ect id="_x0000_s1079" o:spid="_x0000_s1040" style="position:absolute;left:0;margin-left:369.4pt;margin-top:17.2pt;height:76.35pt;width:136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人社局</w:t>
                  </w:r>
                </w:p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特殊工种提前退休核准</w:t>
                  </w:r>
                </w:p>
                <w:p>
                  <w:pPr>
                    <w:ind w:firstLine="320" w:firstLineChars="20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因病提前退休（退职）核准</w:t>
                  </w:r>
                </w:p>
              </w:txbxContent>
            </v:textbox>
          </v:rect>
        </w:pict>
      </w:r>
    </w:p>
    <w:p/>
    <w:p>
      <w:pPr>
        <w:tabs>
          <w:tab w:val="left" w:pos="925"/>
        </w:tabs>
        <w:rPr>
          <w:sz w:val="16"/>
          <w:szCs w:val="16"/>
        </w:rPr>
      </w:pPr>
      <w:r>
        <w:tab/>
      </w:r>
    </w:p>
    <w:p/>
    <w:p>
      <w:pPr>
        <w:tabs>
          <w:tab w:val="left" w:pos="925"/>
        </w:tabs>
        <w:rPr>
          <w:sz w:val="16"/>
          <w:szCs w:val="16"/>
        </w:rPr>
      </w:pPr>
      <w:bookmarkStart w:id="0" w:name="_GoBack"/>
      <w:bookmarkEnd w:id="0"/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oundrect id="_x0000_s1056" o:spid="_x0000_s1041" style="position:absolute;left:0;margin-left:274.4pt;margin-top:112.1pt;height:46.35pt;width:131.45pt;rotation:0f;z-index:25166848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  <w:p/>
              </w:txbxContent>
            </v:textbox>
          </v:roundrect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87" o:spid="_x0000_s1042" type="#_x0000_t32" style="position:absolute;left:0;flip:x y;margin-left:423.2pt;margin-top:4.1pt;height:13.8pt;width:0.05pt;rotation:0f;z-index:251681792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86" o:spid="_x0000_s1043" type="#_x0000_t32" style="position:absolute;left:0;flip:y;margin-left:211pt;margin-top:6.45pt;height:11.45pt;width:0.05pt;rotation:0f;z-index:25168076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85" o:spid="_x0000_s1044" type="#_x0000_t32" style="position:absolute;left:0;margin-left:333.05pt;margin-top:17.9pt;height:13.25pt;width:0.05pt;rotation:0f;z-index:25167974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rect id="_x0000_s1076" o:spid="_x0000_s1045" style="position:absolute;left:0;margin-left:271.15pt;margin-top:31.15pt;height:52.05pt;width:134.55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人社局</w:t>
                  </w:r>
                </w:p>
                <w:p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退休审批表、退休证打印</w:t>
                  </w:r>
                </w:p>
              </w:txbxContent>
            </v:textbox>
          </v:rect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78" o:spid="_x0000_s1046" type="#_x0000_t32" style="position:absolute;left:0;margin-left:326.7pt;margin-top:89.6pt;height:0.05pt;width:12.8pt;rotation:5898240f;z-index:25167360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黑体"/>
          <w:sz w:val="22"/>
          <w:szCs w:val="22"/>
          <w:lang w:val="en-US" w:eastAsia="zh-CN" w:bidi="ar-SA"/>
        </w:rPr>
        <w:pict>
          <v:shape id="_x0000_s1084" o:spid="_x0000_s1047" type="#_x0000_t32" style="position:absolute;left:0;margin-left:211pt;margin-top:17.9pt;height:0.05pt;width:212.25pt;rotation:0f;z-index:251678720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2020-10-28T07:31:56Z</dcterms:modified>
  <dc:title>我要办城镇企业职工基本养老保险参保人员办理退休“一件事”办事流程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