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0" w:firstLineChars="200"/>
        <w:jc w:val="center"/>
        <w:rPr>
          <w:rFonts w:hint="eastAsia" w:ascii="华文中宋" w:hAnsi="华文中宋" w:eastAsia="华文中宋"/>
          <w:sz w:val="36"/>
          <w:szCs w:val="36"/>
        </w:rPr>
      </w:pPr>
      <w:bookmarkStart w:id="0" w:name="第七部分部门决算分析报告撰写提纲"/>
      <w:bookmarkStart w:id="1" w:name="YS060100"/>
    </w:p>
    <w:bookmarkEnd w:id="0"/>
    <w:bookmarkEnd w:id="1"/>
    <w:p>
      <w:pPr>
        <w:snapToGrid w:val="0"/>
        <w:ind w:firstLine="720" w:firstLineChars="200"/>
        <w:jc w:val="center"/>
        <w:rPr>
          <w:rFonts w:hint="eastAsia" w:ascii="华文中宋" w:hAnsi="华文中宋" w:eastAsia="华文中宋"/>
          <w:sz w:val="36"/>
          <w:szCs w:val="36"/>
        </w:rPr>
      </w:pPr>
    </w:p>
    <w:p>
      <w:pPr>
        <w:snapToGrid w:val="0"/>
        <w:jc w:val="center"/>
        <w:rPr>
          <w:rFonts w:hint="eastAsia"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2020年度部门决算分析报告</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bookmarkStart w:id="9" w:name="_GoBack"/>
      <w:bookmarkEnd w:id="9"/>
    </w:p>
    <w:p>
      <w:pPr>
        <w:snapToGrid w:val="0"/>
        <w:spacing w:line="520" w:lineRule="exact"/>
        <w:ind w:firstLine="640" w:firstLineChars="200"/>
        <w:rPr>
          <w:rFonts w:hint="eastAsia" w:ascii="黑体" w:hAnsi="黑体" w:eastAsia="黑体"/>
          <w:color w:val="000000" w:themeColor="text1"/>
          <w:sz w:val="32"/>
          <w:szCs w:val="32"/>
          <w14:textFill>
            <w14:solidFill>
              <w14:schemeClr w14:val="tx1"/>
            </w14:solidFill>
          </w14:textFill>
        </w:rPr>
      </w:pPr>
      <w:bookmarkStart w:id="2" w:name="YS060101"/>
      <w:r>
        <w:rPr>
          <w:rFonts w:hint="eastAsia" w:ascii="黑体" w:hAnsi="黑体" w:eastAsia="黑体"/>
          <w:color w:val="000000" w:themeColor="text1"/>
          <w:sz w:val="32"/>
          <w:szCs w:val="32"/>
          <w14:textFill>
            <w14:solidFill>
              <w14:schemeClr w14:val="tx1"/>
            </w14:solidFill>
          </w14:textFill>
        </w:rPr>
        <w:t>一、单位情况</w:t>
      </w:r>
    </w:p>
    <w:bookmarkEnd w:id="2"/>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（一）基本情况。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1．主要职能。</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实施九年义务教育，促进基础教育发展。小学历教育及相关社会服务。</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2．机构情况，包括当年变动情况及原因。</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抚远市鸭南乡中心校</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是</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一个财政全额拨款的事业单位。单位现有校长一名，副校长</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名，下设教务处</w:t>
      </w:r>
      <w:r>
        <w:rPr>
          <w:rFonts w:hint="eastAsia" w:ascii="仿宋" w:hAnsi="仿宋" w:eastAsia="仿宋" w:cs="仿宋"/>
          <w:i w:val="0"/>
          <w:caps w:val="0"/>
          <w:color w:val="000000" w:themeColor="text1"/>
          <w:spacing w:val="0"/>
          <w:sz w:val="31"/>
          <w:szCs w:val="31"/>
          <w:shd w:val="clear" w:color="auto"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政教</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处、后勤处三个部门</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3．人员情况，包括当年变动情况及原因。</w:t>
      </w:r>
      <w:r>
        <w:rPr>
          <w:rFonts w:hint="eastAsia" w:ascii="仿宋_GB2312" w:hAnsi="仿宋" w:eastAsia="仿宋_GB2312"/>
          <w:color w:val="000000" w:themeColor="text1"/>
          <w:sz w:val="32"/>
          <w:szCs w:val="32"/>
          <w:lang w:val="en-US" w:eastAsia="zh-CN"/>
          <w14:textFill>
            <w14:solidFill>
              <w14:schemeClr w14:val="tx1"/>
            </w14:solidFill>
          </w14:textFill>
        </w:rPr>
        <w:t>抚远市鸭南乡中心校</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现有在职人员</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8</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人，退休人员</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人。</w:t>
      </w:r>
    </w:p>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（二）当年取得的主要事业成效。</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概述单位工作开展情况及主要事业成效。</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一年来我校全面贯彻党的教育方针，加强对学生的日常</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教育，注重学生品质的培养，注重对学生的潜移默化，让学生在日常生活、学习中得到品质的提升。加强教学管理工作，教务处做好各种教学常规管理，做到抽查、周查与月查相结合。教师注重对学生的培优补差，赢得了教学效果的不断提升。</w:t>
      </w:r>
    </w:p>
    <w:p>
      <w:pPr>
        <w:snapToGrid w:val="0"/>
        <w:spacing w:line="520" w:lineRule="exact"/>
        <w:ind w:firstLine="640" w:firstLineChars="200"/>
        <w:rPr>
          <w:rFonts w:hint="eastAsia" w:ascii="黑体" w:hAnsi="黑体" w:eastAsia="黑体"/>
          <w:color w:val="000000" w:themeColor="text1"/>
          <w:sz w:val="32"/>
          <w:szCs w:val="32"/>
          <w14:textFill>
            <w14:solidFill>
              <w14:schemeClr w14:val="tx1"/>
            </w14:solidFill>
          </w14:textFill>
        </w:rPr>
      </w:pPr>
      <w:bookmarkStart w:id="3" w:name="YS060102"/>
      <w:r>
        <w:rPr>
          <w:rFonts w:hint="eastAsia" w:ascii="黑体" w:hAnsi="黑体" w:eastAsia="黑体"/>
          <w:color w:val="000000" w:themeColor="text1"/>
          <w:sz w:val="32"/>
          <w:szCs w:val="32"/>
          <w14:textFill>
            <w14:solidFill>
              <w14:schemeClr w14:val="tx1"/>
            </w14:solidFill>
          </w14:textFill>
        </w:rPr>
        <w:t>二、收入支出预算执行情况分析</w:t>
      </w:r>
    </w:p>
    <w:bookmarkEnd w:id="3"/>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（一）收入支出预算安排情况。</w:t>
      </w:r>
    </w:p>
    <w:p>
      <w:pPr>
        <w:snapToGrid w:val="0"/>
        <w:spacing w:line="520" w:lineRule="exact"/>
        <w:ind w:firstLine="640" w:firstLineChars="200"/>
        <w:rPr>
          <w:rFonts w:hint="default"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包括单位收入、支出年初预算安排情况，与上年对比情况及增减变动原因(可用柱形图或折线图)。</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本</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年我校收入、支出年初预算安排为</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102.4万</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元，与上年相比</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减少66.3万元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。年度执行中调整为</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102.4万</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元</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（二）收入支出预算执行情况。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当年收入支出预算执行基本情况，与上年度对比情况，包括增减绝对值与幅度，增减变动主要原因(可用柱形图或折线图)。</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本</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年收入预算</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执行情况与安排情况</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基本</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一致，</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本年</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收入共</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102.4万</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元。与上年比较</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减少66.3万元，主要原因为人员调转和退休</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本年</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支出共</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102.4万元，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人员经费支出</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102.4万</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元，</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主要原因为人员调转和退休</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p>
    <w:p>
      <w:pPr>
        <w:snapToGrid w:val="0"/>
        <w:spacing w:line="520" w:lineRule="exact"/>
        <w:ind w:firstLine="643" w:firstLineChars="200"/>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1．收入支出与预算对比分析。</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（1）预、决算差异情况，可分收入支出功能科目、分单位、分收入支出具体项目逐项对比（可列表）。</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本</w:t>
      </w:r>
      <w:r>
        <w:rPr>
          <w:rFonts w:ascii="仿宋" w:hAnsi="仿宋" w:eastAsia="仿宋" w:cs="仿宋"/>
          <w:i w:val="0"/>
          <w:caps w:val="0"/>
          <w:color w:val="000000" w:themeColor="text1"/>
          <w:spacing w:val="0"/>
          <w:sz w:val="31"/>
          <w:szCs w:val="31"/>
          <w:shd w:val="clear" w:color="auto" w:fill="FFFFFF"/>
          <w14:textFill>
            <w14:solidFill>
              <w14:schemeClr w14:val="tx1"/>
            </w14:solidFill>
          </w14:textFill>
        </w:rPr>
        <w:t>年收入预算</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执行情况与安排情况</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基本</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一致</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（2）差异原因分析。差异较大的应分析到具体收入支出功能科目和具体单位。</w:t>
      </w:r>
    </w:p>
    <w:p>
      <w:pPr>
        <w:snapToGrid w:val="0"/>
        <w:spacing w:line="520" w:lineRule="exact"/>
        <w:ind w:firstLine="643" w:firstLineChars="200"/>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2．收入支出结构分析。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645"/>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（1）各项收入占总收入的比重，各项支出占总支出的比重（可分别制作饼状图）。</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总收入102.4万元，为人员经费。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645"/>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支出方面工资福利支出76万元，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占总</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支出</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的</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74.2</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事业单位离退休收入1.8万元，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占总收入的</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1.8</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养老保险缴费支出10.8万元，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占总收入的</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10.6</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基本医疗支出6.9万元，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占总收入的</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6.7</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住房公积金支出6.9万元，</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占总收入的</w:t>
      </w:r>
      <w:r>
        <w:rPr>
          <w:rFonts w:hint="eastAsia" w:ascii="仿宋" w:hAnsi="仿宋" w:eastAsia="仿宋" w:cs="仿宋"/>
          <w:i w:val="0"/>
          <w:caps w:val="0"/>
          <w:color w:val="000000" w:themeColor="text1"/>
          <w:spacing w:val="0"/>
          <w:sz w:val="31"/>
          <w:szCs w:val="31"/>
          <w:shd w:val="clear" w:color="auto" w:fill="FFFFFF"/>
          <w:lang w:val="en-US" w:eastAsia="zh-CN"/>
          <w14:textFill>
            <w14:solidFill>
              <w14:schemeClr w14:val="tx1"/>
            </w14:solidFill>
          </w14:textFill>
        </w:rPr>
        <w:t>6.7</w:t>
      </w:r>
      <w:r>
        <w:rPr>
          <w:rFonts w:hint="eastAsia" w:ascii="仿宋" w:hAnsi="仿宋" w:eastAsia="仿宋" w:cs="仿宋"/>
          <w:i w:val="0"/>
          <w:caps w:val="0"/>
          <w:color w:val="000000" w:themeColor="text1"/>
          <w:spacing w:val="0"/>
          <w:sz w:val="31"/>
          <w:szCs w:val="31"/>
          <w:shd w:val="clear" w:color="auto" w:fill="FFFFFF"/>
          <w14:textFill>
            <w14:solidFill>
              <w14:schemeClr w14:val="tx1"/>
            </w14:solidFill>
          </w14:textFill>
        </w:rPr>
        <w:t>%。</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（2）收入支出与上年度对比情况及原因分析(可用柱形图或折线图)。</w:t>
      </w:r>
    </w:p>
    <w:p>
      <w:pPr>
        <w:snapToGrid w:val="0"/>
        <w:spacing w:line="520" w:lineRule="exact"/>
        <w:ind w:firstLine="643" w:firstLineChars="200"/>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3．支出按经济分类科目分析。</w:t>
      </w:r>
    </w:p>
    <w:p>
      <w:pPr>
        <w:snapToGrid w:val="0"/>
        <w:spacing w:line="52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（1）“三公”经费支出情况：可进行上下年对比、预决算对比，人均支出情况分析（可做表、柱图、折线图）。</w:t>
      </w:r>
      <w:r>
        <w:rPr>
          <w:rFonts w:hint="eastAsia" w:ascii="仿宋_GB2312" w:hAnsi="仿宋" w:eastAsia="仿宋_GB2312"/>
          <w:color w:val="000000" w:themeColor="text1"/>
          <w:sz w:val="32"/>
          <w:szCs w:val="32"/>
          <w:lang w:eastAsia="zh-CN"/>
          <w14:textFill>
            <w14:solidFill>
              <w14:schemeClr w14:val="tx1"/>
            </w14:solidFill>
          </w14:textFill>
        </w:rPr>
        <w:t>无</w:t>
      </w:r>
    </w:p>
    <w:p>
      <w:pPr>
        <w:snapToGrid w:val="0"/>
        <w:spacing w:line="52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（2）会议费支出情况：可进行上下年对比,人均支出情况分析（可做表、柱图、折线图）。</w:t>
      </w:r>
      <w:r>
        <w:rPr>
          <w:rFonts w:hint="eastAsia" w:ascii="仿宋_GB2312" w:hAnsi="仿宋" w:eastAsia="仿宋_GB2312"/>
          <w:color w:val="000000" w:themeColor="text1"/>
          <w:sz w:val="32"/>
          <w:szCs w:val="32"/>
          <w:lang w:eastAsia="zh-CN"/>
          <w14:textFill>
            <w14:solidFill>
              <w14:schemeClr w14:val="tx1"/>
            </w14:solidFill>
          </w14:textFill>
        </w:rPr>
        <w:t>无</w:t>
      </w:r>
    </w:p>
    <w:p>
      <w:pPr>
        <w:snapToGrid w:val="0"/>
        <w:spacing w:line="52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（3）培训费支出情况：可进行上下年对比，人均支出情况分析（可做表、柱图、折线图）。</w:t>
      </w:r>
      <w:r>
        <w:rPr>
          <w:rFonts w:hint="eastAsia" w:ascii="仿宋_GB2312" w:hAnsi="仿宋" w:eastAsia="仿宋_GB2312"/>
          <w:color w:val="000000" w:themeColor="text1"/>
          <w:sz w:val="32"/>
          <w:szCs w:val="32"/>
          <w:lang w:eastAsia="zh-CN"/>
          <w14:textFill>
            <w14:solidFill>
              <w14:schemeClr w14:val="tx1"/>
            </w14:solidFill>
          </w14:textFill>
        </w:rPr>
        <w:t>无</w:t>
      </w:r>
    </w:p>
    <w:p>
      <w:pPr>
        <w:snapToGrid w:val="0"/>
        <w:spacing w:line="52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（4）其他对单位影响较大的支出情况。</w:t>
      </w:r>
      <w:r>
        <w:rPr>
          <w:rFonts w:hint="eastAsia" w:ascii="仿宋_GB2312" w:hAnsi="仿宋" w:eastAsia="仿宋_GB2312"/>
          <w:color w:val="000000" w:themeColor="text1"/>
          <w:sz w:val="32"/>
          <w:szCs w:val="32"/>
          <w:lang w:eastAsia="zh-CN"/>
          <w14:textFill>
            <w14:solidFill>
              <w14:schemeClr w14:val="tx1"/>
            </w14:solidFill>
          </w14:textFill>
        </w:rPr>
        <w:t>无</w:t>
      </w:r>
    </w:p>
    <w:p>
      <w:pPr>
        <w:snapToGrid w:val="0"/>
        <w:spacing w:line="52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（5）重点经济分类支出中存在的问题及改进措施。</w:t>
      </w:r>
      <w:r>
        <w:rPr>
          <w:rFonts w:hint="eastAsia" w:ascii="仿宋_GB2312" w:hAnsi="仿宋" w:eastAsia="仿宋_GB2312"/>
          <w:color w:val="000000" w:themeColor="text1"/>
          <w:sz w:val="32"/>
          <w:szCs w:val="32"/>
          <w:lang w:eastAsia="zh-CN"/>
          <w14:textFill>
            <w14:solidFill>
              <w14:schemeClr w14:val="tx1"/>
            </w14:solidFill>
          </w14:textFill>
        </w:rPr>
        <w:t>无</w:t>
      </w:r>
    </w:p>
    <w:p>
      <w:pPr>
        <w:snapToGrid w:val="0"/>
        <w:spacing w:line="520" w:lineRule="exact"/>
        <w:ind w:firstLine="643" w:firstLineChars="200"/>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4.财政拨款收入、支出分析。</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分析财政拨款收入、支出总体情况，支出要按照基本支出和项目支出分析具体构成及特点。</w:t>
      </w:r>
    </w:p>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（三）年末结转和结余情况。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1．分资金来源、资金性质结转和结余情况，特别是项目经费结转和结余情况。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2．结转和结余规模较大的原因分析及消化结转和结余的对策。</w:t>
      </w:r>
    </w:p>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bookmarkStart w:id="4" w:name="YS060103"/>
      <w:r>
        <w:rPr>
          <w:rFonts w:hint="eastAsia" w:ascii="楷体_GB2312" w:hAnsi="仿宋" w:eastAsia="楷体_GB2312"/>
          <w:b/>
          <w:color w:val="000000" w:themeColor="text1"/>
          <w:sz w:val="32"/>
          <w:szCs w:val="32"/>
          <w14:textFill>
            <w14:solidFill>
              <w14:schemeClr w14:val="tx1"/>
            </w14:solidFill>
          </w14:textFill>
        </w:rPr>
        <w:t>（四）与预算支出相关的其他指标分析。</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对资产、负债信息进行分析，主要分析与上年度对比情况，包括增减绝对值与幅度，增减变动主要原因(可用柱形图或折线图)，对预算编制和执行的影响等。</w:t>
      </w:r>
    </w:p>
    <w:p>
      <w:pPr>
        <w:snapToGrid w:val="0"/>
        <w:spacing w:line="520" w:lineRule="exact"/>
        <w:ind w:firstLine="643" w:firstLineChars="200"/>
        <w:rPr>
          <w:rFonts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（五）绩效目标完成情况。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1.概述项目绩效目标完成情况。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2.概述本单位整体支出绩效目标实现情况（如有）。</w:t>
      </w:r>
    </w:p>
    <w:p>
      <w:pPr>
        <w:snapToGrid w:val="0"/>
        <w:spacing w:line="520" w:lineRule="exact"/>
        <w:ind w:firstLine="643" w:firstLineChars="200"/>
        <w:rPr>
          <w:rFonts w:hint="eastAsia" w:ascii="楷体_GB2312" w:hAnsi="仿宋" w:eastAsia="楷体_GB2312"/>
          <w:b/>
          <w:color w:val="000000" w:themeColor="text1"/>
          <w:sz w:val="32"/>
          <w:szCs w:val="32"/>
          <w14:textFill>
            <w14:solidFill>
              <w14:schemeClr w14:val="tx1"/>
            </w14:solidFill>
          </w14:textFill>
        </w:rPr>
      </w:pPr>
      <w:r>
        <w:rPr>
          <w:rFonts w:hint="eastAsia" w:ascii="楷体_GB2312" w:hAnsi="仿宋" w:eastAsia="楷体_GB2312"/>
          <w:b/>
          <w:color w:val="000000" w:themeColor="text1"/>
          <w:sz w:val="32"/>
          <w:szCs w:val="32"/>
          <w14:textFill>
            <w14:solidFill>
              <w14:schemeClr w14:val="tx1"/>
            </w14:solidFill>
          </w14:textFill>
        </w:rPr>
        <w:t>（六）当年预算执行及绩效管理中存在问题、原因及改进措施。</w:t>
      </w:r>
    </w:p>
    <w:bookmarkEnd w:id="4"/>
    <w:p>
      <w:pPr>
        <w:snapToGrid w:val="0"/>
        <w:spacing w:line="520" w:lineRule="exact"/>
        <w:ind w:firstLine="640" w:firstLineChars="200"/>
        <w:rPr>
          <w:rFonts w:hint="eastAsia" w:ascii="黑体" w:hAnsi="黑体" w:eastAsia="黑体"/>
          <w:color w:val="000000" w:themeColor="text1"/>
          <w:sz w:val="32"/>
          <w:szCs w:val="32"/>
          <w14:textFill>
            <w14:solidFill>
              <w14:schemeClr w14:val="tx1"/>
            </w14:solidFill>
          </w14:textFill>
        </w:rPr>
      </w:pPr>
      <w:bookmarkStart w:id="5" w:name="YS060104"/>
      <w:r>
        <w:rPr>
          <w:rFonts w:hint="eastAsia" w:ascii="黑体" w:hAnsi="黑体" w:eastAsia="黑体"/>
          <w:color w:val="000000" w:themeColor="text1"/>
          <w:sz w:val="32"/>
          <w:szCs w:val="32"/>
          <w14:textFill>
            <w14:solidFill>
              <w14:schemeClr w14:val="tx1"/>
            </w14:solidFill>
          </w14:textFill>
        </w:rPr>
        <w:t>三、本年度部门决算等财务工作开展情况</w:t>
      </w:r>
    </w:p>
    <w:bookmarkEnd w:id="5"/>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（一）本单位财务管理、绩效管理、决算组织、编报、审核情况。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（二）本单位决算及绩效信息公开工作开展情况。</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（三）对单位决算管理及报表设计的意见建议。</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（四）对加强部门决算数据分析利用工作的建议。</w:t>
      </w: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spacing w:line="52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注：收入支出预算执行情况分析可参考部门决算分析评价表（见软件查询模板）及行政事业单位财务分析指标（附后）。</w:t>
      </w:r>
    </w:p>
    <w:p>
      <w:pPr>
        <w:snapToGrid w:val="0"/>
        <w:rPr>
          <w:rFonts w:hint="eastAsia"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r>
        <w:rPr>
          <w:rFonts w:hint="eastAsia" w:ascii="仿宋_GB2312" w:hAnsi="仿宋" w:eastAsia="仿宋_GB2312"/>
          <w:color w:val="000000" w:themeColor="text1"/>
          <w:sz w:val="32"/>
          <w:szCs w:val="32"/>
          <w14:textFill>
            <w14:solidFill>
              <w14:schemeClr w14:val="tx1"/>
            </w14:solidFill>
          </w14:textFill>
        </w:rPr>
        <w:t>附：</w:t>
      </w:r>
    </w:p>
    <w:p>
      <w:pPr>
        <w:snapToGrid w:val="0"/>
        <w:ind w:firstLine="640" w:firstLineChars="200"/>
        <w:jc w:val="center"/>
        <w:rPr>
          <w:rFonts w:hint="eastAsia" w:ascii="华文中宋" w:hAnsi="华文中宋" w:eastAsia="华文中宋"/>
          <w:color w:val="000000" w:themeColor="text1"/>
          <w:sz w:val="32"/>
          <w:szCs w:val="32"/>
          <w14:textFill>
            <w14:solidFill>
              <w14:schemeClr w14:val="tx1"/>
            </w14:solidFill>
          </w14:textFill>
        </w:rPr>
      </w:pPr>
      <w:bookmarkStart w:id="6" w:name="YS060200"/>
    </w:p>
    <w:p>
      <w:pPr>
        <w:snapToGrid w:val="0"/>
        <w:ind w:firstLine="640" w:firstLineChars="200"/>
        <w:jc w:val="center"/>
        <w:rPr>
          <w:rFonts w:hint="eastAsia"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行政事业单位财务分析指标</w:t>
      </w:r>
    </w:p>
    <w:bookmarkEnd w:id="6"/>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ind w:firstLine="640" w:firstLineChars="200"/>
        <w:rPr>
          <w:rFonts w:hint="eastAsia" w:ascii="黑体" w:hAnsi="黑体" w:eastAsia="黑体"/>
          <w:color w:val="000000" w:themeColor="text1"/>
          <w:sz w:val="32"/>
          <w:szCs w:val="32"/>
          <w14:textFill>
            <w14:solidFill>
              <w14:schemeClr w14:val="tx1"/>
            </w14:solidFill>
          </w14:textFill>
        </w:rPr>
      </w:pPr>
      <w:bookmarkStart w:id="7" w:name="YS060201"/>
      <w:r>
        <w:rPr>
          <w:rFonts w:hint="eastAsia" w:ascii="黑体" w:hAnsi="黑体" w:eastAsia="黑体"/>
          <w:color w:val="000000" w:themeColor="text1"/>
          <w:sz w:val="32"/>
          <w:szCs w:val="32"/>
          <w14:textFill>
            <w14:solidFill>
              <w14:schemeClr w14:val="tx1"/>
            </w14:solidFill>
          </w14:textFill>
        </w:rPr>
        <w:t>一、行政单位财务分析指标</w:t>
      </w:r>
    </w:p>
    <w:bookmarkEnd w:id="7"/>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1.支出增长率，衡量行政单位支出的增长水平。计算公式为：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支出增长率＝(本期支出总额÷上期支出总额-1)×100%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2.当年预算支出完成率，衡量行政单位当年支出总预算及分项预算完成的程度。计算公式为：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当年预算支出完成率＝年终执行数÷调整预算数×100%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年终执行数不含上年结转和结余支出数。</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3.人均开支，衡量行政单位人均年消耗经费水平。计算公式为：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人均开支＝本期支出数÷本期平均在职人员数×100%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4.项目支出占总支出的比率，衡量行政单位的支出结构。计算公式为：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项目支出比率=本期项目支出数÷本期支出总数×100%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5.人员支出、公用支出占总支出的比率，衡量行政单位的支出结构。计算公式为：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人员支出比率=本期人员支出数÷本期支出总数×100%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公用支出比率=本期公用支出数÷本期支出总数×100%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6.人均办公使用面积，衡量行政单位办公用房配备情况。计算公式为：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人均办公使用面积=本期末单位办公用房使用面积÷本期末在职人员数</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7.人车比例，衡量行政单位公务用车配备情况。计算公式为：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人车比例=本期末在职人员数÷本期末公务用车实有数:1</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ind w:firstLine="640" w:firstLineChars="200"/>
        <w:rPr>
          <w:rFonts w:hint="eastAsia" w:ascii="黑体" w:hAnsi="黑体" w:eastAsia="黑体"/>
          <w:color w:val="000000" w:themeColor="text1"/>
          <w:sz w:val="32"/>
          <w:szCs w:val="32"/>
          <w14:textFill>
            <w14:solidFill>
              <w14:schemeClr w14:val="tx1"/>
            </w14:solidFill>
          </w14:textFill>
        </w:rPr>
      </w:pPr>
      <w:bookmarkStart w:id="8" w:name="YS060202"/>
      <w:r>
        <w:rPr>
          <w:rFonts w:hint="eastAsia" w:ascii="黑体" w:hAnsi="黑体" w:eastAsia="黑体"/>
          <w:color w:val="000000" w:themeColor="text1"/>
          <w:sz w:val="32"/>
          <w:szCs w:val="32"/>
          <w14:textFill>
            <w14:solidFill>
              <w14:schemeClr w14:val="tx1"/>
            </w14:solidFill>
          </w14:textFill>
        </w:rPr>
        <w:t>二、事业单位财务分析指标</w:t>
      </w:r>
    </w:p>
    <w:bookmarkEnd w:id="8"/>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1.预算收入和支出完成率，衡量事业单位收入和支出总预算及分项预算完成的程度。计算公式为：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预算收入完成率＝年终执行数÷调整预算数×100%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年终执行数不含上年结转和结余收入数</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预算支出完成率＝年终执行数÷调整预算数×100%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年终执行数不含上年结转和结余支出数</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2.人员支出、公用支出占事业支出的比率，衡量事业单位事业支出结构。计算公式为：</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人员支出比率＝人员支出÷事业支出×100%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公用支出比率＝公用支出÷事业支出×100%</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3.人均基本支出，衡量事业单位按照实际在编人数平均的基本支出水平。计算公式为：</w:t>
      </w:r>
    </w:p>
    <w:p>
      <w:pPr>
        <w:snapToGrid w:val="0"/>
        <w:ind w:firstLine="640" w:firstLineChars="200"/>
        <w:rPr>
          <w:rFonts w:hint="eastAsia"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人均基本支出＝（基本支出-离退休人员支出）÷实际在编人数</w:t>
      </w: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p>
    <w:p>
      <w:pPr>
        <w:snapToGrid w:val="0"/>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此外，行业事业单位还可根据相关财务制度规定和分析需要增加相关分析指标，如：</w:t>
      </w:r>
    </w:p>
    <w:p>
      <w:pPr>
        <w:ind w:firstLine="707" w:firstLineChars="221"/>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1.财政拨款依存度, 衡量部门（单位）对财政拨款的依赖程度。</w:t>
      </w:r>
    </w:p>
    <w:p>
      <w:pPr>
        <w:widowControl/>
        <w:ind w:firstLine="640" w:firstLineChars="200"/>
        <w:textAlignment w:val="center"/>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财政拨款依存度＝财政拨款收入÷收入总额×100%</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2</w:t>
    </w:r>
    <w:r>
      <w:rPr>
        <w:rFonts w:ascii="Arial" w:hAnsi="Arial" w:cs="Arial"/>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A1BE2"/>
    <w:rsid w:val="2A01015A"/>
    <w:rsid w:val="4C57708C"/>
    <w:rsid w:val="71A7750B"/>
    <w:rsid w:val="7D76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Lucky lucky</cp:lastModifiedBy>
  <dcterms:modified xsi:type="dcterms:W3CDTF">2021-12-20T02:01:20Z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080501109CF74054961C464601E58E6C</vt:lpwstr>
  </property>
</Properties>
</file>