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9" w:lineRule="exact"/>
        <w:jc w:val="center"/>
        <w:textAlignment w:val="auto"/>
        <w:rPr>
          <w:rFonts w:hint="eastAsia" w:ascii="宋体" w:hAnsi="宋体" w:cs="宋体"/>
          <w:b w:val="0"/>
          <w:bCs w:val="0"/>
          <w:color w:val="auto"/>
          <w:sz w:val="44"/>
          <w:szCs w:val="44"/>
          <w:lang w:val="en-US" w:eastAsia="zh-CN"/>
        </w:rPr>
      </w:pPr>
      <w:r>
        <w:rPr>
          <w:rFonts w:hint="eastAsia" w:ascii="宋体" w:hAnsi="宋体" w:cs="宋体"/>
          <w:b w:val="0"/>
          <w:bCs w:val="0"/>
          <w:color w:val="auto"/>
          <w:sz w:val="44"/>
          <w:szCs w:val="44"/>
          <w:lang w:val="en-US" w:eastAsia="zh-CN"/>
        </w:rPr>
        <w:t>抚远市人民政府2020年政府信息</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jc w:val="center"/>
        <w:textAlignment w:val="auto"/>
        <w:rPr>
          <w:rFonts w:hint="default" w:ascii="宋体" w:hAnsi="宋体" w:eastAsia="宋体" w:cs="宋体"/>
          <w:b w:val="0"/>
          <w:bCs w:val="0"/>
          <w:color w:val="auto"/>
          <w:sz w:val="44"/>
          <w:szCs w:val="44"/>
          <w:lang w:val="en-US" w:eastAsia="zh-CN"/>
        </w:rPr>
      </w:pPr>
      <w:r>
        <w:rPr>
          <w:rFonts w:hint="eastAsia" w:ascii="宋体" w:hAnsi="宋体" w:cs="宋体"/>
          <w:b w:val="0"/>
          <w:bCs w:val="0"/>
          <w:color w:val="auto"/>
          <w:sz w:val="44"/>
          <w:szCs w:val="44"/>
          <w:lang w:val="en-US" w:eastAsia="zh-CN"/>
        </w:rPr>
        <w:t>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firstLine="672" w:firstLineChars="200"/>
        <w:jc w:val="both"/>
        <w:textAlignment w:val="auto"/>
        <w:rPr>
          <w:rFonts w:hint="eastAsia" w:ascii="黑体" w:hAnsi="黑体" w:eastAsia="黑体" w:cs="黑体"/>
          <w:b w:val="0"/>
          <w:bCs w:val="0"/>
          <w:i w:val="0"/>
          <w:caps w:val="0"/>
          <w:color w:val="auto"/>
          <w:spacing w:val="8"/>
          <w:sz w:val="32"/>
          <w:szCs w:val="32"/>
        </w:rPr>
      </w:pPr>
      <w:r>
        <w:rPr>
          <w:rStyle w:val="5"/>
          <w:rFonts w:hint="eastAsia" w:ascii="黑体" w:hAnsi="黑体" w:eastAsia="黑体" w:cs="黑体"/>
          <w:b w:val="0"/>
          <w:bCs w:val="0"/>
          <w:i w:val="0"/>
          <w:caps w:val="0"/>
          <w:color w:val="auto"/>
          <w:spacing w:val="8"/>
          <w:sz w:val="32"/>
          <w:szCs w:val="32"/>
        </w:rPr>
        <w:t>一、总体情况</w:t>
      </w:r>
      <w:bookmarkStart w:id="0" w:name="_GoBack"/>
      <w:bookmarkEnd w:id="0"/>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i w:val="0"/>
          <w:caps w:val="0"/>
          <w:color w:val="auto"/>
          <w:spacing w:val="0"/>
          <w:sz w:val="32"/>
          <w:szCs w:val="32"/>
          <w:shd w:val="clear" w:color="auto" w:fill="FFFFFF"/>
          <w:vertAlign w:val="baseline"/>
          <w:lang w:val="en-US" w:eastAsia="zh-CN"/>
        </w:rPr>
      </w:pPr>
      <w:r>
        <w:rPr>
          <w:rFonts w:ascii="仿宋" w:hAnsi="仿宋" w:eastAsia="仿宋" w:cs="仿宋"/>
          <w:i w:val="0"/>
          <w:caps w:val="0"/>
          <w:color w:val="000000"/>
          <w:spacing w:val="0"/>
          <w:sz w:val="32"/>
          <w:szCs w:val="32"/>
          <w:shd w:val="clear" w:fill="FFFFFF"/>
        </w:rPr>
        <w:t>2020年，抚远市</w:t>
      </w:r>
      <w:r>
        <w:rPr>
          <w:rFonts w:hint="eastAsia" w:ascii="仿宋" w:hAnsi="仿宋" w:eastAsia="仿宋" w:cs="仿宋"/>
          <w:i w:val="0"/>
          <w:caps w:val="0"/>
          <w:color w:val="000000"/>
          <w:spacing w:val="0"/>
          <w:sz w:val="32"/>
          <w:szCs w:val="32"/>
          <w:shd w:val="clear" w:fill="FFFFFF"/>
          <w:lang w:val="en-US" w:eastAsia="zh-CN"/>
        </w:rPr>
        <w:t>人民政府</w:t>
      </w:r>
      <w:r>
        <w:rPr>
          <w:rFonts w:ascii="仿宋" w:hAnsi="仿宋" w:eastAsia="仿宋" w:cs="仿宋"/>
          <w:i w:val="0"/>
          <w:caps w:val="0"/>
          <w:color w:val="000000"/>
          <w:spacing w:val="0"/>
          <w:sz w:val="32"/>
          <w:szCs w:val="32"/>
          <w:shd w:val="clear" w:fill="FFFFFF"/>
        </w:rPr>
        <w:t>认真贯彻落实</w:t>
      </w:r>
      <w:r>
        <w:rPr>
          <w:rFonts w:hint="eastAsia" w:ascii="仿宋" w:hAnsi="仿宋" w:eastAsia="仿宋" w:cs="仿宋"/>
          <w:i w:val="0"/>
          <w:caps w:val="0"/>
          <w:color w:val="000000"/>
          <w:spacing w:val="0"/>
          <w:sz w:val="32"/>
          <w:szCs w:val="32"/>
          <w:shd w:val="clear" w:fill="FFFFFF"/>
        </w:rPr>
        <w:t>《中华人民共和国政府信息公开条例》及省、市关于政务公开工作有关规定，</w:t>
      </w:r>
      <w:r>
        <w:rPr>
          <w:rFonts w:hint="eastAsia" w:ascii="仿宋" w:hAnsi="仿宋" w:eastAsia="仿宋" w:cs="仿宋"/>
          <w:b w:val="0"/>
          <w:i w:val="0"/>
          <w:caps w:val="0"/>
          <w:color w:val="auto"/>
          <w:spacing w:val="0"/>
          <w:sz w:val="32"/>
          <w:szCs w:val="32"/>
          <w:shd w:val="clear" w:color="auto" w:fill="FFFFFF"/>
          <w:vertAlign w:val="baseline"/>
          <w:lang w:val="en-US" w:eastAsia="zh-CN"/>
        </w:rPr>
        <w:t>将公开透明作为政府工作的基本要求，接受群众监督，对于群众诉求做到了及时处理回应。</w:t>
      </w:r>
      <w:r>
        <w:rPr>
          <w:rFonts w:hint="eastAsia" w:ascii="仿宋" w:hAnsi="仿宋" w:eastAsia="仿宋" w:cs="仿宋"/>
          <w:i w:val="0"/>
          <w:caps w:val="0"/>
          <w:color w:val="auto"/>
          <w:spacing w:val="0"/>
          <w:sz w:val="32"/>
          <w:szCs w:val="32"/>
          <w:shd w:val="clear" w:fill="FFFFFF"/>
        </w:rPr>
        <w:t>在信息主动公开、依申请公开、政府信息管理、平台建设、监督保障等各环节有新突破，政务公开工作制度化、标准化、规范化、信息化水平进一步提升。</w:t>
      </w:r>
      <w:r>
        <w:rPr>
          <w:rFonts w:hint="eastAsia" w:ascii="仿宋" w:hAnsi="仿宋" w:eastAsia="仿宋" w:cs="仿宋"/>
          <w:color w:val="auto"/>
          <w:sz w:val="32"/>
          <w:szCs w:val="32"/>
        </w:rPr>
        <w:t>信息公开工作的积极性、主动性不断提高</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textAlignment w:val="auto"/>
        <w:rPr>
          <w:rFonts w:hint="eastAsia" w:ascii="华文楷体" w:hAnsi="华文楷体" w:eastAsia="华文楷体" w:cs="华文楷体"/>
          <w:b w:val="0"/>
          <w:i w:val="0"/>
          <w:caps w:val="0"/>
          <w:color w:val="auto"/>
          <w:spacing w:val="0"/>
          <w:sz w:val="32"/>
          <w:szCs w:val="32"/>
          <w:shd w:val="clear" w:color="auto" w:fill="FFFFFF"/>
          <w:vertAlign w:val="baseline"/>
          <w:lang w:val="en-US" w:eastAsia="zh-CN"/>
        </w:rPr>
      </w:pPr>
      <w:r>
        <w:rPr>
          <w:rFonts w:hint="eastAsia" w:ascii="华文楷体" w:hAnsi="华文楷体" w:eastAsia="华文楷体" w:cs="华文楷体"/>
          <w:b w:val="0"/>
          <w:i w:val="0"/>
          <w:caps w:val="0"/>
          <w:color w:val="auto"/>
          <w:spacing w:val="0"/>
          <w:sz w:val="32"/>
          <w:szCs w:val="32"/>
          <w:shd w:val="clear" w:color="auto" w:fill="FFFFFF"/>
          <w:vertAlign w:val="baseline"/>
          <w:lang w:val="en-US" w:eastAsia="zh-CN"/>
        </w:rPr>
        <w:t>（一）平台建设改版升级</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b w:val="0"/>
          <w:i w:val="0"/>
          <w:caps w:val="0"/>
          <w:color w:val="auto"/>
          <w:spacing w:val="0"/>
          <w:sz w:val="32"/>
          <w:szCs w:val="32"/>
          <w:shd w:val="clear" w:color="auto" w:fill="FFFFFF"/>
          <w:vertAlign w:val="baseline"/>
          <w:lang w:val="en-US" w:eastAsia="zh-CN"/>
        </w:rPr>
        <w:t>2020年，</w:t>
      </w:r>
      <w:r>
        <w:rPr>
          <w:rFonts w:hint="eastAsia" w:ascii="仿宋" w:hAnsi="仿宋" w:eastAsia="仿宋" w:cs="仿宋"/>
          <w:color w:val="auto"/>
          <w:sz w:val="32"/>
          <w:szCs w:val="32"/>
          <w:lang w:val="en-US" w:eastAsia="zh-CN"/>
        </w:rPr>
        <w:t>我市政府门户网站更换网址，改版升级。</w:t>
      </w:r>
      <w:r>
        <w:rPr>
          <w:rFonts w:hint="eastAsia" w:ascii="仿宋" w:hAnsi="仿宋" w:eastAsia="仿宋" w:cs="仿宋"/>
          <w:b w:val="0"/>
          <w:bCs w:val="0"/>
          <w:sz w:val="32"/>
          <w:szCs w:val="32"/>
          <w:lang w:val="en-US" w:eastAsia="zh-CN"/>
        </w:rPr>
        <w:t>政府门户网站整合领导信箱、政务咨询功能，打造市民“一号通”服务平台，微信公众号开启留言功能并附网站互动版块链接，方便接收</w:t>
      </w:r>
      <w:r>
        <w:rPr>
          <w:rFonts w:hint="eastAsia" w:ascii="仿宋" w:hAnsi="仿宋" w:eastAsia="仿宋" w:cs="仿宋"/>
          <w:color w:val="auto"/>
          <w:sz w:val="32"/>
          <w:szCs w:val="32"/>
        </w:rPr>
        <w:t>群众通过各种渠道反映的意见和要求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除法定不予公开的政府信息外，</w:t>
      </w:r>
      <w:r>
        <w:rPr>
          <w:rFonts w:hint="eastAsia" w:ascii="仿宋" w:hAnsi="仿宋" w:eastAsia="仿宋" w:cs="仿宋"/>
          <w:b w:val="0"/>
          <w:color w:val="auto"/>
          <w:sz w:val="32"/>
          <w:szCs w:val="32"/>
          <w:shd w:val="clear" w:color="auto" w:fill="FFFFFF"/>
        </w:rPr>
        <w:t>对群众办理较多事项的政策依据、办事流程等，对应进行公开，重大事项、特殊情况等</w:t>
      </w:r>
      <w:r>
        <w:rPr>
          <w:rFonts w:hint="eastAsia" w:ascii="仿宋" w:hAnsi="仿宋" w:eastAsia="仿宋" w:cs="仿宋"/>
          <w:b w:val="0"/>
          <w:color w:val="auto"/>
          <w:sz w:val="32"/>
          <w:szCs w:val="32"/>
          <w:shd w:val="clear" w:color="auto" w:fill="FFFFFF"/>
          <w:lang w:val="en-US" w:eastAsia="zh-CN"/>
        </w:rPr>
        <w:t>做到</w:t>
      </w:r>
      <w:r>
        <w:rPr>
          <w:rFonts w:hint="eastAsia" w:ascii="仿宋" w:hAnsi="仿宋" w:eastAsia="仿宋" w:cs="仿宋"/>
          <w:b w:val="0"/>
          <w:color w:val="auto"/>
          <w:sz w:val="32"/>
          <w:szCs w:val="32"/>
          <w:shd w:val="clear" w:color="auto" w:fill="FFFFFF"/>
        </w:rPr>
        <w:t>提前告知、提前宣传。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（二）政府信息主动公开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2020年，我市在政府网站上主动发布信息</w:t>
      </w:r>
      <w:r>
        <w:rPr>
          <w:rFonts w:hint="eastAsia" w:ascii="仿宋" w:hAnsi="仿宋" w:eastAsia="仿宋" w:cs="仿宋"/>
          <w:sz w:val="32"/>
          <w:szCs w:val="32"/>
        </w:rPr>
        <w:t xml:space="preserve"> 5312</w:t>
      </w:r>
      <w:r>
        <w:rPr>
          <w:rFonts w:hint="eastAsia" w:ascii="仿宋" w:hAnsi="仿宋" w:eastAsia="仿宋" w:cs="仿宋"/>
          <w:sz w:val="32"/>
          <w:szCs w:val="32"/>
          <w:lang w:val="en-US" w:eastAsia="zh-CN"/>
        </w:rPr>
        <w:t>条。其中，</w:t>
      </w:r>
      <w:r>
        <w:rPr>
          <w:rFonts w:hint="eastAsia" w:ascii="仿宋" w:hAnsi="仿宋" w:eastAsia="仿宋" w:cs="仿宋"/>
          <w:sz w:val="32"/>
          <w:szCs w:val="32"/>
        </w:rPr>
        <w:t xml:space="preserve"> 概况类信息509</w:t>
      </w:r>
      <w:r>
        <w:rPr>
          <w:rFonts w:hint="eastAsia" w:ascii="仿宋" w:hAnsi="仿宋" w:eastAsia="仿宋" w:cs="仿宋"/>
          <w:sz w:val="32"/>
          <w:szCs w:val="32"/>
          <w:lang w:val="en-US" w:eastAsia="zh-CN"/>
        </w:rPr>
        <w:t>条，</w:t>
      </w:r>
      <w:r>
        <w:rPr>
          <w:rFonts w:hint="eastAsia" w:ascii="仿宋" w:hAnsi="仿宋" w:eastAsia="仿宋" w:cs="仿宋"/>
          <w:sz w:val="32"/>
          <w:szCs w:val="32"/>
        </w:rPr>
        <w:t>政务动态信息2242</w:t>
      </w:r>
      <w:r>
        <w:rPr>
          <w:rFonts w:hint="eastAsia" w:ascii="仿宋" w:hAnsi="仿宋" w:eastAsia="仿宋" w:cs="仿宋"/>
          <w:sz w:val="32"/>
          <w:szCs w:val="32"/>
          <w:lang w:val="en-US" w:eastAsia="zh-CN"/>
        </w:rPr>
        <w:t>条，</w:t>
      </w:r>
      <w:r>
        <w:rPr>
          <w:rFonts w:hint="eastAsia" w:ascii="仿宋" w:hAnsi="仿宋" w:eastAsia="仿宋" w:cs="仿宋"/>
          <w:sz w:val="32"/>
          <w:szCs w:val="32"/>
        </w:rPr>
        <w:t>信息公开目录信息2561</w:t>
      </w:r>
      <w:r>
        <w:rPr>
          <w:rFonts w:hint="eastAsia" w:ascii="仿宋" w:hAnsi="仿宋" w:eastAsia="仿宋" w:cs="仿宋"/>
          <w:sz w:val="32"/>
          <w:szCs w:val="32"/>
          <w:lang w:val="en-US" w:eastAsia="zh-CN"/>
        </w:rPr>
        <w:t>条。</w:t>
      </w:r>
      <w:r>
        <w:rPr>
          <w:rFonts w:hint="eastAsia" w:ascii="仿宋" w:hAnsi="仿宋" w:eastAsia="仿宋" w:cs="仿宋"/>
          <w:b w:val="0"/>
          <w:i w:val="0"/>
          <w:caps w:val="0"/>
          <w:color w:val="auto"/>
          <w:spacing w:val="0"/>
          <w:sz w:val="32"/>
          <w:szCs w:val="32"/>
          <w:shd w:val="clear" w:color="auto" w:fill="FFFFFF"/>
          <w:vertAlign w:val="baseline"/>
          <w:lang w:val="en-US" w:eastAsia="zh-CN"/>
        </w:rPr>
        <w:t>共收到22条投诉举报，已办结22条。</w:t>
      </w:r>
      <w:r>
        <w:rPr>
          <w:rFonts w:hint="eastAsia" w:ascii="仿宋" w:hAnsi="仿宋" w:eastAsia="仿宋" w:cs="仿宋"/>
          <w:sz w:val="32"/>
          <w:szCs w:val="32"/>
        </w:rPr>
        <w:t>未发生因有关政府信息公开而引发的行政复议案和行政诉讼案，未收到各类有关本单位政府信息公开事务的申诉案</w:t>
      </w:r>
      <w:r>
        <w:rPr>
          <w:rFonts w:hint="eastAsia" w:ascii="仿宋" w:hAnsi="仿宋" w:eastAsia="仿宋" w:cs="仿宋"/>
          <w:sz w:val="32"/>
          <w:szCs w:val="32"/>
          <w:lang w:eastAsia="zh-CN"/>
        </w:rPr>
        <w:t>。</w:t>
      </w:r>
      <w:r>
        <w:rPr>
          <w:rFonts w:hint="eastAsia" w:ascii="仿宋" w:hAnsi="仿宋" w:eastAsia="仿宋" w:cs="仿宋"/>
          <w:sz w:val="32"/>
          <w:szCs w:val="32"/>
        </w:rPr>
        <w:t>未出台规范性文件。</w:t>
      </w:r>
    </w:p>
    <w:p>
      <w:pPr>
        <w:keepNext w:val="0"/>
        <w:keepLines w:val="0"/>
        <w:pageBreakBefore w:val="0"/>
        <w:numPr>
          <w:numId w:val="0"/>
        </w:numPr>
        <w:kinsoku/>
        <w:wordWrap/>
        <w:overflowPunct/>
        <w:topLinePunct w:val="0"/>
        <w:autoSpaceDE/>
        <w:autoSpaceDN/>
        <w:bidi w:val="0"/>
        <w:adjustRightInd/>
        <w:snapToGrid/>
        <w:spacing w:line="579" w:lineRule="exact"/>
        <w:ind w:firstLine="640" w:firstLineChars="200"/>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（三）重点领域目录编制</w:t>
      </w:r>
    </w:p>
    <w:p>
      <w:pPr>
        <w:keepNext w:val="0"/>
        <w:keepLines w:val="0"/>
        <w:pageBreakBefore w:val="0"/>
        <w:widowControl/>
        <w:kinsoku/>
        <w:wordWrap/>
        <w:overflowPunct/>
        <w:topLinePunct w:val="0"/>
        <w:autoSpaceDE/>
        <w:autoSpaceDN/>
        <w:bidi w:val="0"/>
        <w:adjustRightInd/>
        <w:snapToGrid/>
        <w:spacing w:line="579" w:lineRule="exact"/>
        <w:ind w:firstLine="643"/>
        <w:textAlignment w:val="auto"/>
        <w:rPr>
          <w:rFonts w:hint="eastAsia" w:ascii="仿宋" w:hAnsi="仿宋" w:eastAsia="仿宋" w:cs="仿宋"/>
          <w:color w:val="auto"/>
          <w:sz w:val="32"/>
          <w:szCs w:val="32"/>
          <w:lang w:eastAsia="zh-CN"/>
        </w:rPr>
      </w:pPr>
      <w:r>
        <w:rPr>
          <w:rFonts w:hint="eastAsia" w:ascii="仿宋" w:hAnsi="仿宋" w:eastAsia="仿宋" w:cs="仿宋"/>
          <w:b w:val="0"/>
          <w:i w:val="0"/>
          <w:caps w:val="0"/>
          <w:color w:val="auto"/>
          <w:spacing w:val="0"/>
          <w:sz w:val="32"/>
          <w:szCs w:val="32"/>
          <w:shd w:val="clear" w:color="auto" w:fill="FFFFFF"/>
          <w:vertAlign w:val="baseline"/>
          <w:lang w:val="en-US" w:eastAsia="zh-CN"/>
        </w:rPr>
        <w:t>2020年，我市印发了《抚远市人民政府办公室关于全面推进基层政务公开标准化规范化工作的实施方案》，明确了公开范围和标准，确定了责任单位和责任人。</w:t>
      </w:r>
      <w:r>
        <w:rPr>
          <w:rFonts w:hint="eastAsia" w:ascii="仿宋" w:hAnsi="仿宋" w:eastAsia="仿宋" w:cs="仿宋"/>
          <w:color w:val="auto"/>
          <w:sz w:val="32"/>
          <w:szCs w:val="32"/>
          <w:highlight w:val="none"/>
          <w:lang w:val="en-US" w:eastAsia="zh-CN"/>
        </w:rPr>
        <w:t>组织指导各单位及乡镇全面梳理细化相关领域政务公开事项，</w:t>
      </w:r>
      <w:r>
        <w:rPr>
          <w:rFonts w:hint="eastAsia" w:ascii="仿宋" w:hAnsi="仿宋" w:eastAsia="仿宋" w:cs="仿宋"/>
          <w:color w:val="auto"/>
          <w:sz w:val="32"/>
          <w:szCs w:val="32"/>
          <w:lang w:eastAsia="zh-CN"/>
        </w:rPr>
        <w:t>按条目方式逐项细化分类，</w:t>
      </w:r>
      <w:r>
        <w:rPr>
          <w:rFonts w:hint="eastAsia" w:ascii="仿宋" w:hAnsi="仿宋" w:eastAsia="仿宋" w:cs="仿宋"/>
          <w:color w:val="auto"/>
          <w:sz w:val="32"/>
          <w:szCs w:val="32"/>
          <w:highlight w:val="none"/>
          <w:lang w:val="en-US" w:eastAsia="zh-CN"/>
        </w:rPr>
        <w:t>编制完成基层政务公开事项标准目录，</w:t>
      </w:r>
      <w:r>
        <w:rPr>
          <w:rFonts w:hint="eastAsia" w:ascii="仿宋" w:hAnsi="仿宋" w:eastAsia="仿宋" w:cs="仿宋"/>
          <w:color w:val="auto"/>
          <w:sz w:val="32"/>
          <w:szCs w:val="32"/>
          <w:highlight w:val="none"/>
        </w:rPr>
        <w:t>并在</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政府门户网站上集中发布，实行政务过程和结果全公开。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72" w:firstLineChars="200"/>
        <w:jc w:val="both"/>
        <w:textAlignment w:val="auto"/>
        <w:rPr>
          <w:rStyle w:val="5"/>
          <w:rFonts w:hint="eastAsia" w:ascii="黑体" w:hAnsi="黑体" w:eastAsia="黑体" w:cs="黑体"/>
          <w:b w:val="0"/>
          <w:bCs w:val="0"/>
          <w:i w:val="0"/>
          <w:caps w:val="0"/>
          <w:color w:val="auto"/>
          <w:spacing w:val="8"/>
          <w:sz w:val="32"/>
          <w:szCs w:val="32"/>
        </w:rPr>
      </w:pPr>
      <w:r>
        <w:rPr>
          <w:rStyle w:val="5"/>
          <w:rFonts w:hint="eastAsia" w:ascii="黑体" w:hAnsi="黑体" w:eastAsia="黑体" w:cs="黑体"/>
          <w:b w:val="0"/>
          <w:bCs w:val="0"/>
          <w:i w:val="0"/>
          <w:caps w:val="0"/>
          <w:color w:val="auto"/>
          <w:spacing w:val="8"/>
          <w:sz w:val="32"/>
          <w:szCs w:val="32"/>
          <w:lang w:eastAsia="zh-CN"/>
        </w:rPr>
        <w:t>二、</w:t>
      </w:r>
      <w:r>
        <w:rPr>
          <w:rStyle w:val="5"/>
          <w:rFonts w:hint="eastAsia" w:ascii="黑体" w:hAnsi="黑体" w:eastAsia="黑体" w:cs="黑体"/>
          <w:b w:val="0"/>
          <w:bCs w:val="0"/>
          <w:i w:val="0"/>
          <w:caps w:val="0"/>
          <w:color w:val="auto"/>
          <w:spacing w:val="8"/>
          <w:sz w:val="32"/>
          <w:szCs w:val="32"/>
        </w:rPr>
        <w:t>主动公开政府信息情况</w:t>
      </w:r>
    </w:p>
    <w:tbl>
      <w:tblPr>
        <w:tblStyle w:val="3"/>
        <w:tblW w:w="9071" w:type="dxa"/>
        <w:jc w:val="center"/>
        <w:tblLayout w:type="autofit"/>
        <w:tblCellMar>
          <w:top w:w="0" w:type="dxa"/>
          <w:left w:w="0" w:type="dxa"/>
          <w:bottom w:w="0" w:type="dxa"/>
          <w:right w:w="0" w:type="dxa"/>
        </w:tblCellMar>
      </w:tblPr>
      <w:tblGrid>
        <w:gridCol w:w="2268"/>
        <w:gridCol w:w="2268"/>
        <w:gridCol w:w="2268"/>
        <w:gridCol w:w="2268"/>
      </w:tblGrid>
      <w:tr>
        <w:tblPrEx>
          <w:tblCellMar>
            <w:top w:w="0" w:type="dxa"/>
            <w:left w:w="0" w:type="dxa"/>
            <w:bottom w:w="0" w:type="dxa"/>
            <w:right w:w="0" w:type="dxa"/>
          </w:tblCellMar>
        </w:tblPrEx>
        <w:trPr>
          <w:trHeight w:val="567" w:hRule="atLeast"/>
          <w:jc w:val="center"/>
        </w:trPr>
        <w:tc>
          <w:tcPr>
            <w:tcW w:w="2268" w:type="dxa"/>
            <w:gridSpan w:val="4"/>
            <w:tcBorders>
              <w:top w:val="single" w:color="000000" w:sz="4" w:space="0"/>
              <w:left w:val="single" w:color="000000" w:sz="4" w:space="0"/>
              <w:bottom w:val="single" w:color="000000" w:sz="4" w:space="0"/>
              <w:right w:val="single" w:color="000000" w:sz="4" w:space="0"/>
            </w:tcBorders>
            <w:shd w:val="clear" w:color="auto" w:fill="C5D9F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第二十条第（一）项</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信息内容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本年新制作数量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本年新公开数量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对外公开总数量</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规章</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规范性文件</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22</w:t>
            </w:r>
          </w:p>
        </w:tc>
      </w:tr>
      <w:tr>
        <w:tblPrEx>
          <w:tblCellMar>
            <w:top w:w="0" w:type="dxa"/>
            <w:left w:w="0" w:type="dxa"/>
            <w:bottom w:w="0" w:type="dxa"/>
            <w:right w:w="0" w:type="dxa"/>
          </w:tblCellMar>
        </w:tblPrEx>
        <w:trPr>
          <w:trHeight w:val="567" w:hRule="atLeast"/>
          <w:jc w:val="center"/>
        </w:trPr>
        <w:tc>
          <w:tcPr>
            <w:tcW w:w="2268" w:type="dxa"/>
            <w:gridSpan w:val="4"/>
            <w:tcBorders>
              <w:top w:val="single" w:color="000000" w:sz="4" w:space="0"/>
              <w:left w:val="single" w:color="000000" w:sz="4" w:space="0"/>
              <w:bottom w:val="single" w:color="000000" w:sz="4" w:space="0"/>
              <w:right w:val="single" w:color="000000" w:sz="4" w:space="0"/>
            </w:tcBorders>
            <w:shd w:val="clear" w:color="auto" w:fill="C5D9F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第二十条第（五）项</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信息内容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上一年项目数量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本年增/减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处理决定数量</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行政许可</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467</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-233</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4448</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其他对外管理服务事项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106</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-10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rPr>
              <w:t>0</w:t>
            </w:r>
          </w:p>
        </w:tc>
      </w:tr>
      <w:tr>
        <w:tblPrEx>
          <w:tblCellMar>
            <w:top w:w="0" w:type="dxa"/>
            <w:left w:w="0" w:type="dxa"/>
            <w:bottom w:w="0" w:type="dxa"/>
            <w:right w:w="0" w:type="dxa"/>
          </w:tblCellMar>
        </w:tblPrEx>
        <w:trPr>
          <w:trHeight w:val="567" w:hRule="atLeast"/>
          <w:jc w:val="center"/>
        </w:trPr>
        <w:tc>
          <w:tcPr>
            <w:tcW w:w="2268" w:type="dxa"/>
            <w:gridSpan w:val="4"/>
            <w:tcBorders>
              <w:top w:val="single" w:color="000000" w:sz="4" w:space="0"/>
              <w:left w:val="single" w:color="000000" w:sz="4" w:space="0"/>
              <w:bottom w:val="single" w:color="000000" w:sz="4" w:space="0"/>
              <w:right w:val="single" w:color="000000" w:sz="4" w:space="0"/>
            </w:tcBorders>
            <w:shd w:val="clear" w:color="auto" w:fill="C5D9F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b w:val="0"/>
                <w:bCs w:val="0"/>
                <w:i w:val="0"/>
                <w:color w:val="auto"/>
                <w:sz w:val="22"/>
                <w:szCs w:val="22"/>
                <w:u w:val="none"/>
                <w:lang w:val="en-US"/>
              </w:rPr>
            </w:pPr>
            <w:r>
              <w:rPr>
                <w:rFonts w:hint="eastAsia" w:ascii="宋体" w:hAnsi="宋体" w:eastAsia="宋体" w:cs="宋体"/>
                <w:b w:val="0"/>
                <w:bCs w:val="0"/>
                <w:i w:val="0"/>
                <w:color w:val="auto"/>
                <w:kern w:val="0"/>
                <w:sz w:val="22"/>
                <w:szCs w:val="22"/>
                <w:u w:val="none"/>
                <w:lang w:val="en-US" w:eastAsia="zh-CN" w:bidi="ar"/>
              </w:rPr>
              <w:t>第二十条第（六）项</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信息内容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上一年项目数量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本年增/减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处理决定数量</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行政处罚</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1594</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+794</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52</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行政强制</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87</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+88</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rPr>
              <w:t>0</w:t>
            </w:r>
          </w:p>
        </w:tc>
      </w:tr>
      <w:tr>
        <w:tblPrEx>
          <w:tblCellMar>
            <w:top w:w="0" w:type="dxa"/>
            <w:left w:w="0" w:type="dxa"/>
            <w:bottom w:w="0" w:type="dxa"/>
            <w:right w:w="0" w:type="dxa"/>
          </w:tblCellMar>
        </w:tblPrEx>
        <w:trPr>
          <w:trHeight w:val="567" w:hRule="atLeast"/>
          <w:jc w:val="center"/>
        </w:trPr>
        <w:tc>
          <w:tcPr>
            <w:tcW w:w="2268" w:type="dxa"/>
            <w:gridSpan w:val="4"/>
            <w:tcBorders>
              <w:top w:val="single" w:color="000000" w:sz="4" w:space="0"/>
              <w:left w:val="single" w:color="000000" w:sz="4" w:space="0"/>
              <w:bottom w:val="single" w:color="000000" w:sz="4" w:space="0"/>
              <w:right w:val="single" w:color="000000" w:sz="4" w:space="0"/>
            </w:tcBorders>
            <w:shd w:val="clear" w:color="auto" w:fill="C5D9F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第二十条第（八）项</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信息内容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上一年项目数量</w:t>
            </w:r>
          </w:p>
        </w:tc>
        <w:tc>
          <w:tcPr>
            <w:tcW w:w="22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本年增/减</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行政事业性收费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11</w:t>
            </w:r>
          </w:p>
        </w:tc>
        <w:tc>
          <w:tcPr>
            <w:tcW w:w="22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widowControl/>
              <w:suppressLineNumbers w:val="0"/>
              <w:wordWrap w:val="0"/>
              <w:ind w:left="0" w:leftChars="0" w:right="0" w:rightChars="0" w:firstLine="420" w:firstLineChars="0"/>
              <w:jc w:val="center"/>
              <w:rPr>
                <w:rFonts w:hint="eastAsia" w:ascii="宋体" w:hAnsi="宋体" w:eastAsia="宋体" w:cs="宋体"/>
                <w:b w:val="0"/>
                <w:bCs w:val="0"/>
                <w:i w:val="0"/>
                <w:color w:val="auto"/>
                <w:sz w:val="22"/>
                <w:szCs w:val="22"/>
                <w:u w:val="none"/>
                <w:lang w:val="en-US" w:eastAsia="zh-CN"/>
              </w:rPr>
            </w:pPr>
            <w:r>
              <w:rPr>
                <w:rFonts w:hint="eastAsia" w:ascii="微软雅黑" w:hAnsi="微软雅黑" w:eastAsia="微软雅黑" w:cs="微软雅黑"/>
                <w:color w:val="333333"/>
                <w:sz w:val="24"/>
                <w:szCs w:val="24"/>
                <w:lang w:val="en-US" w:eastAsia="zh-CN"/>
              </w:rPr>
              <w:t>-7</w:t>
            </w:r>
          </w:p>
        </w:tc>
      </w:tr>
      <w:tr>
        <w:tblPrEx>
          <w:tblCellMar>
            <w:top w:w="0" w:type="dxa"/>
            <w:left w:w="0" w:type="dxa"/>
            <w:bottom w:w="0" w:type="dxa"/>
            <w:right w:w="0" w:type="dxa"/>
          </w:tblCellMar>
        </w:tblPrEx>
        <w:trPr>
          <w:trHeight w:val="567" w:hRule="atLeast"/>
          <w:jc w:val="center"/>
        </w:trPr>
        <w:tc>
          <w:tcPr>
            <w:tcW w:w="2268" w:type="dxa"/>
            <w:gridSpan w:val="4"/>
            <w:tcBorders>
              <w:top w:val="single" w:color="000000" w:sz="4" w:space="0"/>
              <w:left w:val="single" w:color="000000" w:sz="4" w:space="0"/>
              <w:bottom w:val="single" w:color="000000" w:sz="4" w:space="0"/>
              <w:right w:val="single" w:color="000000" w:sz="4" w:space="0"/>
            </w:tcBorders>
            <w:shd w:val="clear" w:color="auto" w:fill="C5D9F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第二十条第（九）项</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信息内容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采购项目数量</w:t>
            </w:r>
          </w:p>
        </w:tc>
        <w:tc>
          <w:tcPr>
            <w:tcW w:w="22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采购总金额</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政府集中采购</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118</w:t>
            </w:r>
          </w:p>
        </w:tc>
        <w:tc>
          <w:tcPr>
            <w:tcW w:w="22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13619万元</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72" w:firstLineChars="200"/>
        <w:jc w:val="both"/>
        <w:textAlignment w:val="auto"/>
        <w:rPr>
          <w:rStyle w:val="5"/>
          <w:rFonts w:hint="eastAsia" w:ascii="黑体" w:hAnsi="黑体" w:eastAsia="黑体" w:cs="黑体"/>
          <w:b w:val="0"/>
          <w:bCs w:val="0"/>
          <w:i w:val="0"/>
          <w:caps w:val="0"/>
          <w:color w:val="auto"/>
          <w:spacing w:val="8"/>
          <w:sz w:val="32"/>
          <w:szCs w:val="32"/>
        </w:rPr>
      </w:pPr>
      <w:r>
        <w:rPr>
          <w:rStyle w:val="5"/>
          <w:rFonts w:hint="eastAsia" w:ascii="黑体" w:hAnsi="黑体" w:eastAsia="黑体" w:cs="黑体"/>
          <w:b w:val="0"/>
          <w:bCs w:val="0"/>
          <w:i w:val="0"/>
          <w:caps w:val="0"/>
          <w:color w:val="auto"/>
          <w:spacing w:val="8"/>
          <w:sz w:val="32"/>
          <w:szCs w:val="32"/>
          <w:lang w:eastAsia="zh-CN"/>
        </w:rPr>
        <w:t>三、</w:t>
      </w:r>
      <w:r>
        <w:rPr>
          <w:rStyle w:val="5"/>
          <w:rFonts w:hint="eastAsia" w:ascii="黑体" w:hAnsi="黑体" w:eastAsia="黑体" w:cs="黑体"/>
          <w:b w:val="0"/>
          <w:bCs w:val="0"/>
          <w:i w:val="0"/>
          <w:caps w:val="0"/>
          <w:color w:val="auto"/>
          <w:spacing w:val="8"/>
          <w:sz w:val="32"/>
          <w:szCs w:val="32"/>
        </w:rPr>
        <w:t>收到和处理政府信息公开申请情况</w:t>
      </w:r>
    </w:p>
    <w:tbl>
      <w:tblPr>
        <w:tblStyle w:val="3"/>
        <w:tblW w:w="9195" w:type="dxa"/>
        <w:jc w:val="center"/>
        <w:tblLayout w:type="autofit"/>
        <w:tblCellMar>
          <w:top w:w="0" w:type="dxa"/>
          <w:left w:w="0" w:type="dxa"/>
          <w:bottom w:w="0" w:type="dxa"/>
          <w:right w:w="0" w:type="dxa"/>
        </w:tblCellMar>
      </w:tblPr>
      <w:tblGrid>
        <w:gridCol w:w="705"/>
        <w:gridCol w:w="705"/>
        <w:gridCol w:w="2850"/>
        <w:gridCol w:w="705"/>
        <w:gridCol w:w="705"/>
        <w:gridCol w:w="705"/>
        <w:gridCol w:w="705"/>
        <w:gridCol w:w="705"/>
        <w:gridCol w:w="705"/>
        <w:gridCol w:w="705"/>
      </w:tblGrid>
      <w:tr>
        <w:tblPrEx>
          <w:tblCellMar>
            <w:top w:w="0" w:type="dxa"/>
            <w:left w:w="0" w:type="dxa"/>
            <w:bottom w:w="0" w:type="dxa"/>
            <w:right w:w="0" w:type="dxa"/>
          </w:tblCellMar>
        </w:tblPrEx>
        <w:trPr>
          <w:trHeight w:val="660" w:hRule="atLeast"/>
          <w:jc w:val="center"/>
        </w:trPr>
        <w:tc>
          <w:tcPr>
            <w:tcW w:w="426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（本列数据的勾稽关系为：第一项加第二项之和，等于第三项加第四项之和）</w:t>
            </w:r>
          </w:p>
        </w:tc>
        <w:tc>
          <w:tcPr>
            <w:tcW w:w="493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申请人情况</w:t>
            </w:r>
          </w:p>
        </w:tc>
      </w:tr>
      <w:tr>
        <w:tblPrEx>
          <w:tblCellMar>
            <w:top w:w="0" w:type="dxa"/>
            <w:left w:w="0" w:type="dxa"/>
            <w:bottom w:w="0" w:type="dxa"/>
            <w:right w:w="0" w:type="dxa"/>
          </w:tblCellMar>
        </w:tblPrEx>
        <w:trPr>
          <w:trHeight w:val="660" w:hRule="atLeast"/>
          <w:jc w:val="center"/>
        </w:trPr>
        <w:tc>
          <w:tcPr>
            <w:tcW w:w="426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自然人</w:t>
            </w:r>
          </w:p>
        </w:tc>
        <w:tc>
          <w:tcPr>
            <w:tcW w:w="352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法人或其他组织</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总计</w:t>
            </w:r>
          </w:p>
        </w:tc>
      </w:tr>
      <w:tr>
        <w:tblPrEx>
          <w:tblCellMar>
            <w:top w:w="0" w:type="dxa"/>
            <w:left w:w="0" w:type="dxa"/>
            <w:bottom w:w="0" w:type="dxa"/>
            <w:right w:w="0" w:type="dxa"/>
          </w:tblCellMar>
        </w:tblPrEx>
        <w:trPr>
          <w:trHeight w:val="660" w:hRule="atLeast"/>
          <w:jc w:val="center"/>
        </w:trPr>
        <w:tc>
          <w:tcPr>
            <w:tcW w:w="426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商业企业</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科研机构</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社会公益组织</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法律服务机构</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其他</w:t>
            </w: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r>
      <w:tr>
        <w:tblPrEx>
          <w:tblCellMar>
            <w:top w:w="0" w:type="dxa"/>
            <w:left w:w="0" w:type="dxa"/>
            <w:bottom w:w="0" w:type="dxa"/>
            <w:right w:w="0" w:type="dxa"/>
          </w:tblCellMar>
        </w:tblPrEx>
        <w:trPr>
          <w:trHeight w:val="660" w:hRule="atLeast"/>
          <w:jc w:val="center"/>
        </w:trPr>
        <w:tc>
          <w:tcPr>
            <w:tcW w:w="42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一、本年新收政府信息公开申请数量</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7</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7</w:t>
            </w:r>
          </w:p>
        </w:tc>
      </w:tr>
      <w:tr>
        <w:tblPrEx>
          <w:tblCellMar>
            <w:top w:w="0" w:type="dxa"/>
            <w:left w:w="0" w:type="dxa"/>
            <w:bottom w:w="0" w:type="dxa"/>
            <w:right w:w="0" w:type="dxa"/>
          </w:tblCellMar>
        </w:tblPrEx>
        <w:trPr>
          <w:trHeight w:val="660" w:hRule="atLeast"/>
          <w:jc w:val="center"/>
        </w:trPr>
        <w:tc>
          <w:tcPr>
            <w:tcW w:w="42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二、上年结转政府信息公开申请数量</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三、本年度办理结果</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（一）予以公开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6</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（二）部分公开（区分处理的，只记这一情形，不计其他情形）</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（三）不予公开</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1.属于国家秘密</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2.其他法律行政法规禁止公开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3.危及“三安全一稳定”</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4.保护第三方合法权益</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5.属于三类内部事务信息</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6.属于四类过程性信息</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7.属于行政执法案卷</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8.属于行政查询事项</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（四）无法提供</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1.本机关不掌握相关政府信息</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2.没有现成信息需要另行制作</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3.补正后申请内容仍不明确</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（五）不予处理</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1.信访举报投诉类申请</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2.重复申请</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3.要求提供公开出版物</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4.无正当理由大量反复申请</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5.要求行政机关确认或重新出具已获取信息</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（六）其他处理</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1</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（七）总计</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7</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7</w:t>
            </w:r>
          </w:p>
        </w:tc>
      </w:tr>
      <w:tr>
        <w:tblPrEx>
          <w:tblCellMar>
            <w:top w:w="0" w:type="dxa"/>
            <w:left w:w="0" w:type="dxa"/>
            <w:bottom w:w="0" w:type="dxa"/>
            <w:right w:w="0" w:type="dxa"/>
          </w:tblCellMar>
        </w:tblPrEx>
        <w:trPr>
          <w:trHeight w:val="660" w:hRule="atLeast"/>
          <w:jc w:val="center"/>
        </w:trPr>
        <w:tc>
          <w:tcPr>
            <w:tcW w:w="42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四、结转下年度继续办理</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r>
              <w:rPr>
                <w:rFonts w:hint="eastAsia" w:ascii="宋体" w:hAnsi="宋体" w:cs="宋体"/>
                <w:b w:val="0"/>
                <w:bCs w:val="0"/>
                <w:i w:val="0"/>
                <w:color w:val="auto"/>
                <w:sz w:val="22"/>
                <w:szCs w:val="22"/>
                <w:u w:val="none"/>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firstLine="672" w:firstLineChars="200"/>
        <w:jc w:val="both"/>
        <w:textAlignment w:val="auto"/>
        <w:rPr>
          <w:rFonts w:hint="eastAsia" w:ascii="黑体" w:hAnsi="黑体" w:eastAsia="黑体" w:cs="黑体"/>
          <w:b w:val="0"/>
          <w:bCs w:val="0"/>
          <w:i w:val="0"/>
          <w:caps w:val="0"/>
          <w:color w:val="auto"/>
          <w:spacing w:val="8"/>
          <w:sz w:val="32"/>
          <w:szCs w:val="32"/>
        </w:rPr>
      </w:pPr>
      <w:r>
        <w:rPr>
          <w:rStyle w:val="5"/>
          <w:rFonts w:hint="eastAsia" w:ascii="黑体" w:hAnsi="黑体" w:eastAsia="黑体" w:cs="黑体"/>
          <w:b w:val="0"/>
          <w:bCs w:val="0"/>
          <w:i w:val="0"/>
          <w:caps w:val="0"/>
          <w:color w:val="auto"/>
          <w:spacing w:val="8"/>
          <w:sz w:val="32"/>
          <w:szCs w:val="32"/>
        </w:rPr>
        <w:t>四、政府信息公开行政复议、行政诉讼情况</w:t>
      </w:r>
    </w:p>
    <w:tbl>
      <w:tblPr>
        <w:tblStyle w:val="3"/>
        <w:tblW w:w="9450" w:type="dxa"/>
        <w:jc w:val="center"/>
        <w:tblLayout w:type="autofit"/>
        <w:tblCellMar>
          <w:top w:w="0" w:type="dxa"/>
          <w:left w:w="0" w:type="dxa"/>
          <w:bottom w:w="0" w:type="dxa"/>
          <w:right w:w="0" w:type="dxa"/>
        </w:tblCellMar>
      </w:tblPr>
      <w:tblGrid>
        <w:gridCol w:w="630"/>
        <w:gridCol w:w="630"/>
        <w:gridCol w:w="630"/>
        <w:gridCol w:w="630"/>
        <w:gridCol w:w="630"/>
        <w:gridCol w:w="630"/>
        <w:gridCol w:w="630"/>
        <w:gridCol w:w="630"/>
        <w:gridCol w:w="630"/>
        <w:gridCol w:w="630"/>
        <w:gridCol w:w="630"/>
        <w:gridCol w:w="630"/>
        <w:gridCol w:w="630"/>
        <w:gridCol w:w="630"/>
        <w:gridCol w:w="630"/>
      </w:tblGrid>
      <w:tr>
        <w:tblPrEx>
          <w:tblCellMar>
            <w:top w:w="0" w:type="dxa"/>
            <w:left w:w="0" w:type="dxa"/>
            <w:bottom w:w="0" w:type="dxa"/>
            <w:right w:w="0" w:type="dxa"/>
          </w:tblCellMar>
        </w:tblPrEx>
        <w:trPr>
          <w:trHeight w:val="691" w:hRule="atLeast"/>
          <w:jc w:val="center"/>
        </w:trPr>
        <w:tc>
          <w:tcPr>
            <w:tcW w:w="315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行政复议</w:t>
            </w:r>
          </w:p>
        </w:tc>
        <w:tc>
          <w:tcPr>
            <w:tcW w:w="630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行政诉讼</w:t>
            </w:r>
          </w:p>
        </w:tc>
      </w:tr>
      <w:tr>
        <w:tblPrEx>
          <w:tblCellMar>
            <w:top w:w="0" w:type="dxa"/>
            <w:left w:w="0" w:type="dxa"/>
            <w:bottom w:w="0" w:type="dxa"/>
            <w:right w:w="0" w:type="dxa"/>
          </w:tblCellMar>
        </w:tblPrEx>
        <w:trPr>
          <w:trHeight w:val="919"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结果维持</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结果纠正</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其他结果</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尚未审结</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总计</w:t>
            </w:r>
          </w:p>
        </w:tc>
        <w:tc>
          <w:tcPr>
            <w:tcW w:w="315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未经复议直接起诉</w:t>
            </w:r>
          </w:p>
        </w:tc>
        <w:tc>
          <w:tcPr>
            <w:tcW w:w="315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复议后起诉</w:t>
            </w:r>
          </w:p>
        </w:tc>
      </w:tr>
      <w:tr>
        <w:tblPrEx>
          <w:tblCellMar>
            <w:top w:w="0" w:type="dxa"/>
            <w:left w:w="0" w:type="dxa"/>
            <w:bottom w:w="0" w:type="dxa"/>
            <w:right w:w="0" w:type="dxa"/>
          </w:tblCellMar>
        </w:tblPrEx>
        <w:trPr>
          <w:trHeight w:val="120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结果维持</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结果纠正</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其他结果</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尚未审结</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总计</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结果维持</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结果纠正</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其他结果</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尚未审结</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总计</w:t>
            </w:r>
          </w:p>
        </w:tc>
      </w:tr>
      <w:tr>
        <w:tblPrEx>
          <w:tblCellMar>
            <w:top w:w="0" w:type="dxa"/>
            <w:left w:w="0" w:type="dxa"/>
            <w:bottom w:w="0" w:type="dxa"/>
            <w:right w:w="0" w:type="dxa"/>
          </w:tblCellMar>
        </w:tblPrEx>
        <w:trPr>
          <w:trHeight w:val="1200" w:hRule="atLeas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firstLine="672" w:firstLineChars="200"/>
        <w:jc w:val="both"/>
        <w:textAlignment w:val="auto"/>
        <w:rPr>
          <w:rFonts w:hint="eastAsia" w:ascii="黑体" w:hAnsi="黑体" w:eastAsia="黑体" w:cs="黑体"/>
          <w:b w:val="0"/>
          <w:bCs w:val="0"/>
          <w:i w:val="0"/>
          <w:caps w:val="0"/>
          <w:color w:val="auto"/>
          <w:spacing w:val="8"/>
          <w:sz w:val="32"/>
          <w:szCs w:val="32"/>
        </w:rPr>
      </w:pPr>
      <w:r>
        <w:rPr>
          <w:rStyle w:val="5"/>
          <w:rFonts w:hint="eastAsia" w:ascii="黑体" w:hAnsi="黑体" w:eastAsia="黑体" w:cs="黑体"/>
          <w:b w:val="0"/>
          <w:bCs w:val="0"/>
          <w:i w:val="0"/>
          <w:caps w:val="0"/>
          <w:color w:val="auto"/>
          <w:spacing w:val="8"/>
          <w:sz w:val="32"/>
          <w:szCs w:val="32"/>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79" w:lineRule="exact"/>
        <w:ind w:right="0" w:firstLine="640" w:firstLineChars="200"/>
        <w:jc w:val="left"/>
        <w:rPr>
          <w:rFonts w:hint="eastAsia" w:ascii="仿宋" w:hAnsi="仿宋" w:eastAsia="仿宋" w:cs="仿宋"/>
          <w:i w:val="0"/>
          <w:caps w:val="0"/>
          <w:color w:val="000000"/>
          <w:spacing w:val="0"/>
          <w:sz w:val="32"/>
          <w:szCs w:val="32"/>
          <w:shd w:val="clear" w:color="auto" w:fill="FFFFFF"/>
          <w:lang w:eastAsia="zh-CN"/>
        </w:rPr>
      </w:pPr>
      <w:r>
        <w:rPr>
          <w:rFonts w:hint="eastAsia" w:ascii="仿宋" w:hAnsi="仿宋" w:eastAsia="仿宋" w:cs="仿宋"/>
          <w:i w:val="0"/>
          <w:caps w:val="0"/>
          <w:color w:val="000000"/>
          <w:spacing w:val="0"/>
          <w:sz w:val="32"/>
          <w:szCs w:val="32"/>
          <w:shd w:val="clear" w:fill="FFFFFF"/>
          <w:lang w:val="en-US" w:eastAsia="zh-CN"/>
        </w:rPr>
        <w:t>各单位</w:t>
      </w:r>
      <w:r>
        <w:rPr>
          <w:rFonts w:ascii="仿宋" w:hAnsi="仿宋" w:eastAsia="仿宋" w:cs="仿宋"/>
          <w:i w:val="0"/>
          <w:caps w:val="0"/>
          <w:color w:val="000000"/>
          <w:spacing w:val="0"/>
          <w:sz w:val="32"/>
          <w:szCs w:val="32"/>
          <w:shd w:val="clear" w:fill="FFFFFF"/>
        </w:rPr>
        <w:t>工作人员对政府信息公开工作意识强弱不一，认识有待进一步提高</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需进行</w:t>
      </w:r>
      <w:r>
        <w:rPr>
          <w:rFonts w:hint="eastAsia" w:ascii="仿宋" w:hAnsi="仿宋" w:eastAsia="仿宋" w:cs="仿宋"/>
          <w:b w:val="0"/>
          <w:i w:val="0"/>
          <w:caps w:val="0"/>
          <w:color w:val="auto"/>
          <w:spacing w:val="0"/>
          <w:sz w:val="32"/>
          <w:szCs w:val="32"/>
          <w:shd w:val="clear" w:color="auto" w:fill="FFFFFF"/>
          <w:vertAlign w:val="baseline"/>
          <w:lang w:val="en-US" w:eastAsia="zh-CN"/>
        </w:rPr>
        <w:t>严格监察、定向通报，坚决杜绝少数部门存在应公开不公开、公开深度不够、发布信息数量少等问题。</w:t>
      </w:r>
      <w:r>
        <w:rPr>
          <w:rFonts w:ascii="仿宋" w:hAnsi="仿宋" w:eastAsia="仿宋" w:cs="仿宋"/>
          <w:i w:val="0"/>
          <w:caps w:val="0"/>
          <w:color w:val="000000"/>
          <w:spacing w:val="0"/>
          <w:sz w:val="32"/>
          <w:szCs w:val="32"/>
          <w:shd w:val="clear" w:fill="FFFFFF"/>
        </w:rPr>
        <w:t>加强</w:t>
      </w:r>
      <w:r>
        <w:rPr>
          <w:rFonts w:hint="eastAsia" w:ascii="仿宋" w:hAnsi="仿宋" w:eastAsia="仿宋" w:cs="仿宋"/>
          <w:i w:val="0"/>
          <w:caps w:val="0"/>
          <w:color w:val="000000"/>
          <w:spacing w:val="0"/>
          <w:sz w:val="32"/>
          <w:szCs w:val="32"/>
          <w:shd w:val="clear" w:fill="FFFFFF"/>
          <w:lang w:val="en-US" w:eastAsia="zh-CN"/>
        </w:rPr>
        <w:t>各</w:t>
      </w:r>
      <w:r>
        <w:rPr>
          <w:rFonts w:ascii="仿宋" w:hAnsi="仿宋" w:eastAsia="仿宋" w:cs="仿宋"/>
          <w:i w:val="0"/>
          <w:caps w:val="0"/>
          <w:color w:val="000000"/>
          <w:spacing w:val="0"/>
          <w:sz w:val="32"/>
          <w:szCs w:val="32"/>
          <w:shd w:val="clear" w:fill="FFFFFF"/>
        </w:rPr>
        <w:t>单位的衔接与沟通，努力将信息收集与公开同步进行，确保信息的及时</w:t>
      </w:r>
      <w:r>
        <w:rPr>
          <w:rFonts w:hint="eastAsia" w:ascii="仿宋" w:hAnsi="仿宋" w:eastAsia="仿宋" w:cs="仿宋"/>
          <w:i w:val="0"/>
          <w:caps w:val="0"/>
          <w:color w:val="000000"/>
          <w:spacing w:val="0"/>
          <w:sz w:val="32"/>
          <w:szCs w:val="32"/>
          <w:shd w:val="clear" w:fill="FFFFFF"/>
          <w:lang w:val="en-US" w:eastAsia="zh-CN"/>
        </w:rPr>
        <w:t>性</w:t>
      </w:r>
      <w:r>
        <w:rPr>
          <w:rFonts w:ascii="仿宋" w:hAnsi="仿宋" w:eastAsia="仿宋" w:cs="仿宋"/>
          <w:i w:val="0"/>
          <w:caps w:val="0"/>
          <w:color w:val="000000"/>
          <w:spacing w:val="0"/>
          <w:sz w:val="32"/>
          <w:szCs w:val="32"/>
          <w:shd w:val="clear" w:fill="FFFFFF"/>
        </w:rPr>
        <w:t>、准确</w:t>
      </w:r>
      <w:r>
        <w:rPr>
          <w:rFonts w:hint="eastAsia" w:ascii="仿宋" w:hAnsi="仿宋" w:eastAsia="仿宋" w:cs="仿宋"/>
          <w:i w:val="0"/>
          <w:caps w:val="0"/>
          <w:color w:val="000000"/>
          <w:spacing w:val="0"/>
          <w:sz w:val="32"/>
          <w:szCs w:val="32"/>
          <w:shd w:val="clear" w:fill="FFFFFF"/>
          <w:lang w:val="en-US" w:eastAsia="zh-CN"/>
        </w:rPr>
        <w:t>性</w:t>
      </w:r>
      <w:r>
        <w:rPr>
          <w:rFonts w:ascii="仿宋" w:hAnsi="仿宋" w:eastAsia="仿宋" w:cs="仿宋"/>
          <w:i w:val="0"/>
          <w:caps w:val="0"/>
          <w:color w:val="000000"/>
          <w:spacing w:val="0"/>
          <w:sz w:val="32"/>
          <w:szCs w:val="32"/>
          <w:shd w:val="clear" w:fill="FFFFFF"/>
        </w:rPr>
        <w:t>、全面</w:t>
      </w:r>
      <w:r>
        <w:rPr>
          <w:rFonts w:hint="eastAsia" w:ascii="仿宋" w:hAnsi="仿宋" w:eastAsia="仿宋" w:cs="仿宋"/>
          <w:i w:val="0"/>
          <w:caps w:val="0"/>
          <w:color w:val="000000"/>
          <w:spacing w:val="0"/>
          <w:sz w:val="32"/>
          <w:szCs w:val="32"/>
          <w:shd w:val="clear" w:fill="FFFFFF"/>
          <w:lang w:val="en-US" w:eastAsia="zh-CN"/>
        </w:rPr>
        <w:t>性</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继续加大主动公开力度。充分发挥政府网站专栏、微信公众号等</w:t>
      </w:r>
      <w:r>
        <w:rPr>
          <w:rFonts w:hint="eastAsia" w:ascii="仿宋" w:hAnsi="仿宋" w:eastAsia="仿宋" w:cs="仿宋"/>
          <w:i w:val="0"/>
          <w:caps w:val="0"/>
          <w:color w:val="000000"/>
          <w:spacing w:val="0"/>
          <w:sz w:val="32"/>
          <w:szCs w:val="32"/>
          <w:shd w:val="clear" w:fill="FFFFFF"/>
          <w:lang w:val="en-US" w:eastAsia="zh-CN"/>
        </w:rPr>
        <w:t>平台</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着力推动</w:t>
      </w:r>
      <w:r>
        <w:rPr>
          <w:rFonts w:hint="eastAsia" w:ascii="仿宋" w:hAnsi="仿宋" w:eastAsia="仿宋" w:cs="仿宋"/>
          <w:i w:val="0"/>
          <w:caps w:val="0"/>
          <w:color w:val="000000"/>
          <w:spacing w:val="0"/>
          <w:sz w:val="32"/>
          <w:szCs w:val="32"/>
          <w:shd w:val="clear" w:fill="FFFFFF"/>
        </w:rPr>
        <w:t>重点领域信息发布工作</w:t>
      </w:r>
      <w:r>
        <w:rPr>
          <w:rFonts w:hint="eastAsia" w:ascii="仿宋" w:hAnsi="仿宋" w:eastAsia="仿宋" w:cs="仿宋"/>
          <w:i w:val="0"/>
          <w:caps w:val="0"/>
          <w:color w:val="000000"/>
          <w:spacing w:val="0"/>
          <w:sz w:val="32"/>
          <w:szCs w:val="32"/>
          <w:shd w:val="clear" w:fill="FFFFFF"/>
        </w:rPr>
        <w:t>，健全和完善重点领域信息公开工作机制和程序</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auto"/>
          <w:spacing w:val="0"/>
          <w:sz w:val="32"/>
          <w:szCs w:val="32"/>
          <w:u w:val="none"/>
          <w:lang w:val="en-US" w:eastAsia="zh-CN"/>
        </w:rPr>
        <w:t>定期进行</w:t>
      </w:r>
      <w:r>
        <w:rPr>
          <w:rFonts w:hint="eastAsia" w:ascii="仿宋" w:hAnsi="仿宋" w:eastAsia="仿宋" w:cs="仿宋"/>
          <w:i w:val="0"/>
          <w:caps w:val="0"/>
          <w:color w:val="auto"/>
          <w:spacing w:val="0"/>
          <w:sz w:val="32"/>
          <w:szCs w:val="32"/>
          <w:u w:val="none"/>
        </w:rPr>
        <w:t>工作成效考核</w:t>
      </w:r>
      <w:r>
        <w:rPr>
          <w:rFonts w:hint="eastAsia" w:ascii="仿宋" w:hAnsi="仿宋" w:eastAsia="仿宋" w:cs="仿宋"/>
          <w:i w:val="0"/>
          <w:caps w:val="0"/>
          <w:color w:val="auto"/>
          <w:spacing w:val="0"/>
          <w:sz w:val="32"/>
          <w:szCs w:val="32"/>
          <w:u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黑体" w:hAnsi="黑体" w:eastAsia="黑体" w:cs="黑体"/>
          <w:b w:val="0"/>
          <w:bCs w:val="0"/>
          <w:i w:val="0"/>
          <w:caps w:val="0"/>
          <w:color w:val="auto"/>
          <w:spacing w:val="8"/>
          <w:sz w:val="32"/>
          <w:szCs w:val="32"/>
        </w:rPr>
      </w:pPr>
      <w:r>
        <w:rPr>
          <w:rFonts w:hint="eastAsia" w:ascii="黑体" w:hAnsi="黑体" w:eastAsia="黑体" w:cs="黑体"/>
          <w:b w:val="0"/>
          <w:bCs w:val="0"/>
          <w:i w:val="0"/>
          <w:caps w:val="0"/>
          <w:color w:val="auto"/>
          <w:spacing w:val="8"/>
          <w:sz w:val="32"/>
          <w:szCs w:val="32"/>
        </w:rPr>
        <w:t>　　</w:t>
      </w:r>
      <w:r>
        <w:rPr>
          <w:rStyle w:val="5"/>
          <w:rFonts w:hint="eastAsia" w:ascii="黑体" w:hAnsi="黑体" w:eastAsia="黑体" w:cs="黑体"/>
          <w:b w:val="0"/>
          <w:bCs w:val="0"/>
          <w:i w:val="0"/>
          <w:caps w:val="0"/>
          <w:color w:val="auto"/>
          <w:spacing w:val="8"/>
          <w:sz w:val="32"/>
          <w:szCs w:val="32"/>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firstLine="672"/>
        <w:jc w:val="both"/>
        <w:textAlignment w:val="auto"/>
        <w:rPr>
          <w:rFonts w:hint="default" w:ascii="仿宋" w:hAnsi="仿宋" w:eastAsia="仿宋" w:cs="仿宋"/>
          <w:b w:val="0"/>
          <w:bCs w:val="0"/>
          <w:i w:val="0"/>
          <w:caps w:val="0"/>
          <w:color w:val="auto"/>
          <w:spacing w:val="8"/>
          <w:sz w:val="32"/>
          <w:szCs w:val="32"/>
          <w:lang w:val="en-US" w:eastAsia="zh-CN"/>
        </w:rPr>
      </w:pPr>
      <w:r>
        <w:rPr>
          <w:rFonts w:hint="eastAsia" w:ascii="仿宋" w:hAnsi="仿宋" w:eastAsia="仿宋" w:cs="仿宋"/>
          <w:b w:val="0"/>
          <w:bCs w:val="0"/>
          <w:i w:val="0"/>
          <w:caps w:val="0"/>
          <w:color w:val="auto"/>
          <w:spacing w:val="8"/>
          <w:sz w:val="32"/>
          <w:szCs w:val="32"/>
          <w:lang w:val="en-US" w:eastAsia="zh-CN"/>
        </w:rPr>
        <w:t>我市无其他需要报告的事项。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79" w:lineRule="exact"/>
        <w:ind w:right="0"/>
        <w:jc w:val="both"/>
        <w:textAlignment w:val="baseline"/>
        <w:rPr>
          <w:rFonts w:ascii="仿宋" w:hAnsi="仿宋" w:eastAsia="仿宋" w:cs="仿宋"/>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79" w:lineRule="exact"/>
        <w:ind w:left="0" w:right="0" w:firstLine="640" w:firstLineChars="200"/>
        <w:jc w:val="both"/>
        <w:textAlignment w:val="baseline"/>
        <w:rPr>
          <w:rFonts w:ascii="仿宋" w:hAnsi="仿宋" w:eastAsia="仿宋" w:cs="仿宋"/>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579" w:lineRule="exact"/>
        <w:ind w:left="0" w:right="0" w:firstLine="640" w:firstLineChars="200"/>
        <w:jc w:val="right"/>
        <w:textAlignment w:val="baseline"/>
        <w:rPr>
          <w:rFonts w:hint="default"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 xml:space="preserve">抚远市人民政府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579" w:lineRule="exact"/>
        <w:ind w:left="0" w:right="0" w:firstLine="640" w:firstLineChars="200"/>
        <w:jc w:val="right"/>
        <w:textAlignment w:val="baseline"/>
        <w:rPr>
          <w:rFonts w:hint="default"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 xml:space="preserve">2021年1月29日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79" w:lineRule="exact"/>
        <w:ind w:left="0" w:right="0" w:firstLine="640" w:firstLineChars="200"/>
        <w:jc w:val="both"/>
        <w:textAlignment w:val="baseline"/>
        <w:rPr>
          <w:rFonts w:ascii="仿宋" w:hAnsi="仿宋" w:eastAsia="仿宋" w:cs="仿宋"/>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baseline"/>
        <w:rPr>
          <w:rFonts w:ascii="仿宋" w:hAnsi="仿宋" w:eastAsia="仿宋" w:cs="仿宋"/>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32"/>
          <w:szCs w:val="40"/>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å¾®è½¯é›…é»‘">
    <w:altName w:val="HelveticaNeue LT 43 LightEx"/>
    <w:panose1 w:val="00000000000000000000"/>
    <w:charset w:val="00"/>
    <w:family w:val="auto"/>
    <w:pitch w:val="default"/>
    <w:sig w:usb0="00000000" w:usb1="00000000" w:usb2="00000000" w:usb3="00000000" w:csb0="00000000" w:csb1="00000000"/>
  </w:font>
  <w:font w:name="HelveticaNeue LT 43 LightEx">
    <w:panose1 w:val="02000400000000000000"/>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兰亭超细黑简体">
    <w:panose1 w:val="03000509000000000000"/>
    <w:charset w:val="86"/>
    <w:family w:val="auto"/>
    <w:pitch w:val="default"/>
    <w:sig w:usb0="A00002BF" w:usb1="184F6CFA" w:usb2="00000012"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9"/>
    <w:rsid w:val="00BB7B39"/>
    <w:rsid w:val="07D13A93"/>
    <w:rsid w:val="15257CE1"/>
    <w:rsid w:val="318A4D4D"/>
    <w:rsid w:val="52CA70E7"/>
    <w:rsid w:val="59CE74E5"/>
    <w:rsid w:val="66035F55"/>
    <w:rsid w:val="7E8B0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2021-01-14T01:53:00Z</dcterms:created>
  <dc:creator>lenovm</dc:creator>
  <cp:lastModifiedBy>lenovm</cp:lastModifiedBy>
  <cp:lastPrinted>2021-01-29T08:33:20Z</cp:lastPrinted>
  <dcterms:modified xsi:type="dcterms:W3CDTF">2021-01-29T08:44:47Z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