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我要办社会保险关系转移、接续“一件事”办事</w:t>
      </w:r>
    </w:p>
    <w:p>
      <w:pPr>
        <w:spacing w:line="220" w:lineRule="atLeast"/>
      </w:pPr>
      <w:r>
        <w:pict>
          <v:shape id="_x0000_s1040" o:spid="_x0000_s1040" o:spt="32" type="#_x0000_t32" style="position:absolute;left:0pt;margin-left:99.55pt;margin-top:22.7pt;height:0.05pt;width:162.35pt;z-index:25167155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oundrect id="_x0000_s1032" o:spid="_x0000_s1032" o:spt="2" style="position:absolute;left:0pt;margin-left:261.9pt;margin-top:0.15pt;height:46.95pt;width:93.1pt;z-index:251664384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sz w:val="18"/>
                      <w:szCs w:val="18"/>
                    </w:rPr>
                    <w:t>申请人根据前置件目录提供前置件</w:t>
                  </w:r>
                </w:p>
              </w:txbxContent>
            </v:textbox>
          </v:roundrect>
        </w:pict>
      </w:r>
      <w:r>
        <w:pict>
          <v:rect id="_x0000_s1026" o:spid="_x0000_s1026" o:spt="1" style="position:absolute;left:0pt;margin-left:253.5pt;margin-top:112.25pt;height:41.9pt;width:132.15pt;z-index:25165824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受理</w:t>
                  </w:r>
                </w:p>
              </w:txbxContent>
            </v:textbox>
          </v:rect>
        </w:pict>
      </w:r>
      <w:r>
        <w:pict>
          <v:rect id="_x0000_s1033" o:spid="_x0000_s1033" o:spt="1" style="position:absolute;left:0pt;margin-left:0.6pt;margin-top:4.5pt;height:42.6pt;width:98.95pt;z-index:2516654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退回申请材料</w:t>
                  </w:r>
                </w:p>
                <w:p/>
              </w:txbxContent>
            </v:textbox>
          </v:rect>
        </w:pict>
      </w:r>
      <w:r>
        <w:pict>
          <v:shape id="_x0000_s1068" o:spid="_x0000_s1068" o:spt="32" type="#_x0000_t32" style="position:absolute;left:0pt;margin-left:561.6pt;margin-top:340.1pt;height:31.9pt;width:0pt;z-index:25169203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66" o:spid="_x0000_s1066" o:spt="32" type="#_x0000_t32" style="position:absolute;left:0pt;margin-left:107.05pt;margin-top:340.1pt;height:31.9pt;width:0pt;z-index:25168998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65" o:spid="_x0000_s1065" o:spt="32" type="#_x0000_t32" style="position:absolute;left:0pt;margin-left:107.05pt;margin-top:372pt;height:0pt;width:454.55pt;z-index:25168896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62" o:spid="_x0000_s1062" o:spt="32" type="#_x0000_t32" style="position:absolute;left:0pt;margin-left:561.6pt;margin-top:213.05pt;height:53pt;width:0pt;z-index:2516858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60" o:spid="_x0000_s1060" o:spt="32" type="#_x0000_t32" style="position:absolute;left:0pt;margin-left:107.05pt;margin-top:213.05pt;height:53pt;width:0pt;z-index:25168384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59" o:spid="_x0000_s1059" o:spt="32" type="#_x0000_t32" style="position:absolute;left:0pt;margin-left:107.05pt;margin-top:213.05pt;height:0pt;width:454.55pt;z-index:25168281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rect id="_x0000_s1031" o:spid="_x0000_s1031" o:spt="1" style="position:absolute;left:0pt;margin-left:369.4pt;margin-top:41.5pt;height:45.05pt;width:98.3pt;z-index:2516633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sz w:val="18"/>
                      <w:szCs w:val="18"/>
                    </w:rPr>
                    <w:t>前置件不齐全，一次性告知补充前置件</w:t>
                  </w:r>
                </w:p>
              </w:txbxContent>
            </v:textbox>
          </v:rect>
        </w:pict>
      </w:r>
      <w:r>
        <w:pict>
          <v:roundrect id="_x0000_s1056" o:spid="_x0000_s1056" o:spt="2" style="position:absolute;left:0pt;margin-left:254.85pt;margin-top:395.2pt;height:46.35pt;width:131.45pt;z-index:251680768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办结</w:t>
                  </w:r>
                </w:p>
              </w:txbxContent>
            </v:textbox>
          </v:roundrect>
        </w:pict>
      </w:r>
      <w:r>
        <w:pict>
          <v:shape id="_x0000_s1035" o:spid="_x0000_s1035" o:spt="32" type="#_x0000_t32" style="position:absolute;left:0pt;margin-left:318.05pt;margin-top:154.15pt;height:108.15pt;width:0.05pt;z-index:25166745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39" o:spid="_x0000_s1039" o:spt="34" type="#_x0000_t34" style="position:absolute;left:0pt;margin-left:355pt;margin-top:22.7pt;height:18.8pt;width:45.7pt;rotation:11796480f;z-index:251670528;mso-width-relative:page;mso-height-relative:page;" o:connectortype="elbow" filled="f" coordsize="21600,21600" adj="-142,-151085,-223421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36" o:spid="_x0000_s1036" o:spt="32" type="#_x0000_t32" style="position:absolute;left:0pt;margin-left:318.05pt;margin-top:47.1pt;height:65.15pt;width:0.05pt;z-index:25166848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37" o:spid="_x0000_s1037" o:spt="32" type="#_x0000_t32" style="position:absolute;left:0pt;margin-left:318.05pt;margin-top:67.15pt;height:0pt;width:51.35pt;z-index:2516695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/>
    <w:p>
      <w:r>
        <w:pict>
          <v:shape id="_x0000_s1071" o:spid="_x0000_s1071" o:spt="34" type="#_x0000_t34" style="position:absolute;left:0pt;flip:x;margin-left:-73.55pt;margin-top:114.15pt;height:30.75pt;width:257.95pt;rotation:17694720f;z-index:251695104;mso-width-relative:page;mso-height-relative:page;" o:connectortype="elbow" filled="f" coordsize="21600,21600" adj="-114,277499,-11958">
            <v:path arrowok="t"/>
            <v:fill on="f" focussize="0,0"/>
            <v:stroke endarrow="block"/>
            <v:imagedata o:title=""/>
            <o:lock v:ext="edit"/>
          </v:shape>
        </w:pict>
      </w:r>
    </w:p>
    <w:p>
      <w:bookmarkStart w:id="0" w:name="_GoBack"/>
      <w:bookmarkEnd w:id="0"/>
    </w:p>
    <w:p/>
    <w:p/>
    <w:p/>
    <w:p/>
    <w:p>
      <w:pPr>
        <w:tabs>
          <w:tab w:val="left" w:pos="925"/>
        </w:tabs>
        <w:rPr>
          <w:sz w:val="16"/>
          <w:szCs w:val="16"/>
        </w:rPr>
      </w:pPr>
      <w:r>
        <w:rPr>
          <w:rFonts w:hint="eastAsia"/>
        </w:rPr>
        <w:t xml:space="preserve">                 </w:t>
      </w:r>
      <w:r>
        <w:rPr>
          <w:rFonts w:hint="eastAsia"/>
          <w:sz w:val="16"/>
          <w:szCs w:val="16"/>
        </w:rPr>
        <w:t>不符合会规定</w:t>
      </w:r>
    </w:p>
    <w:p/>
    <w:p/>
    <w:p>
      <w:pPr>
        <w:tabs>
          <w:tab w:val="left" w:pos="925"/>
        </w:tabs>
        <w:rPr>
          <w:sz w:val="16"/>
          <w:szCs w:val="16"/>
        </w:rPr>
      </w:pPr>
      <w:r>
        <w:pict>
          <v:shape id="_x0000_s1058" o:spid="_x0000_s1058" o:spt="32" type="#_x0000_t32" style="position:absolute;left:0pt;flip:x;margin-left:318.05pt;margin-top:85.85pt;height:53.3pt;width:0.05pt;z-index:25168179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ect id="_x0000_s1029" o:spid="_x0000_s1029" o:spt="1" style="position:absolute;left:0pt;margin-left:70.8pt;margin-top:9.2pt;height:76.65pt;width:137.75pt;z-index:2516613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微软雅黑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人社局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城镇职工基本养老保险关系转移接续申请</w:t>
                  </w:r>
                </w:p>
                <w:p/>
              </w:txbxContent>
            </v:textbox>
          </v:rect>
        </w:pict>
      </w:r>
      <w:r>
        <w:pict>
          <v:rect id="_x0000_s1073" o:spid="_x0000_s1073" o:spt="1" style="position:absolute;left:0pt;margin-left:454.55pt;margin-top:10pt;height:74.05pt;width:192.8pt;z-index:25169612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微软雅黑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人社局</w:t>
                  </w:r>
                </w:p>
                <w:p>
                  <w:pPr>
                    <w:ind w:firstLine="440" w:firstLineChars="200"/>
                    <w:jc w:val="both"/>
                  </w:pPr>
                  <w:r>
                    <w:rPr>
                      <w:rFonts w:hint="eastAsia"/>
                    </w:rPr>
                    <w:t>失业保险关系有关的转移接续</w:t>
                  </w: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</w:txbxContent>
            </v:textbox>
          </v:rect>
        </w:pict>
      </w:r>
      <w:r>
        <w:pict>
          <v:rect id="_x0000_s1030" o:spid="_x0000_s1030" o:spt="1" style="position:absolute;left:0pt;margin-left:234.8pt;margin-top:5.95pt;height:78.1pt;width:152.3pt;z-index:25166233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880" w:firstLineChars="400"/>
                    <w:jc w:val="both"/>
                    <w:rPr>
                      <w:rFonts w:hint="eastAsia" w:eastAsia="微软雅黑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医保局</w:t>
                  </w:r>
                </w:p>
                <w:p>
                  <w:pPr>
                    <w:ind w:firstLine="220" w:firstLineChars="100"/>
                    <w:jc w:val="both"/>
                  </w:pPr>
                  <w:r>
                    <w:rPr>
                      <w:rFonts w:hint="eastAsia"/>
                    </w:rPr>
                    <w:t>基本医疗保险关系转移</w:t>
                  </w: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</w:txbxContent>
            </v:textbox>
          </v:rect>
        </w:pict>
      </w:r>
      <w:r>
        <w:tab/>
      </w: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520C1"/>
    <w:rsid w:val="001A679E"/>
    <w:rsid w:val="001C7F7C"/>
    <w:rsid w:val="00323B43"/>
    <w:rsid w:val="003D37D8"/>
    <w:rsid w:val="00426133"/>
    <w:rsid w:val="004358AB"/>
    <w:rsid w:val="00436B79"/>
    <w:rsid w:val="004823FD"/>
    <w:rsid w:val="005F6610"/>
    <w:rsid w:val="00636589"/>
    <w:rsid w:val="0073320B"/>
    <w:rsid w:val="008824FC"/>
    <w:rsid w:val="008B7726"/>
    <w:rsid w:val="00934C42"/>
    <w:rsid w:val="00960979"/>
    <w:rsid w:val="00996062"/>
    <w:rsid w:val="00AF03B7"/>
    <w:rsid w:val="00BC724D"/>
    <w:rsid w:val="00C93CC1"/>
    <w:rsid w:val="00D31D50"/>
    <w:rsid w:val="00E31379"/>
    <w:rsid w:val="00F007F6"/>
    <w:rsid w:val="00F55CD9"/>
    <w:rsid w:val="00FC071A"/>
    <w:rsid w:val="5565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35"/>
        <o:r id="V:Rule2" type="connector" idref="#_x0000_s1036"/>
        <o:r id="V:Rule3" type="connector" idref="#_x0000_s1037"/>
        <o:r id="V:Rule4" type="connector" idref="#_x0000_s1039"/>
        <o:r id="V:Rule5" type="connector" idref="#_x0000_s1040"/>
        <o:r id="V:Rule6" type="connector" idref="#_x0000_s1058"/>
        <o:r id="V:Rule7" type="connector" idref="#_x0000_s1059"/>
        <o:r id="V:Rule8" type="connector" idref="#_x0000_s1060"/>
        <o:r id="V:Rule9" type="connector" idref="#_x0000_s1062"/>
        <o:r id="V:Rule10" type="connector" idref="#_x0000_s1065"/>
        <o:r id="V:Rule11" type="connector" idref="#_x0000_s1066"/>
        <o:r id="V:Rule12" type="connector" idref="#_x0000_s1068"/>
        <o:r id="V:Rule13" type="connector" idref="#_x0000_s107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32"/>
    <customShpInfo spid="_x0000_s1026"/>
    <customShpInfo spid="_x0000_s1033"/>
    <customShpInfo spid="_x0000_s1068"/>
    <customShpInfo spid="_x0000_s1066"/>
    <customShpInfo spid="_x0000_s1065"/>
    <customShpInfo spid="_x0000_s1062"/>
    <customShpInfo spid="_x0000_s1060"/>
    <customShpInfo spid="_x0000_s1059"/>
    <customShpInfo spid="_x0000_s1031"/>
    <customShpInfo spid="_x0000_s1056"/>
    <customShpInfo spid="_x0000_s1035"/>
    <customShpInfo spid="_x0000_s1039"/>
    <customShpInfo spid="_x0000_s1036"/>
    <customShpInfo spid="_x0000_s1037"/>
    <customShpInfo spid="_x0000_s1071"/>
    <customShpInfo spid="_x0000_s1058"/>
    <customShpInfo spid="_x0000_s1029"/>
    <customShpInfo spid="_x0000_s1073"/>
    <customShpInfo spid="_x0000_s10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1C1886-D0FE-4C3B-967B-E8D1F73EC1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68</Characters>
  <Lines>1</Lines>
  <Paragraphs>1</Paragraphs>
  <TotalTime>51</TotalTime>
  <ScaleCrop>false</ScaleCrop>
  <LinksUpToDate>false</LinksUpToDate>
  <CharactersWithSpaces>78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2020-07-09T07:43:11Z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