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我要办员工招聘“一件事”办事流程</w:t>
      </w:r>
    </w:p>
    <w:p>
      <w:pPr>
        <w:spacing w:line="220" w:lineRule="atLeast"/>
      </w:pPr>
    </w:p>
    <w:p>
      <w:pPr>
        <w:spacing w:line="220" w:lineRule="atLeast"/>
      </w:pPr>
      <w:r>
        <w:pict>
          <v:shape id="_x0000_s1039" o:spid="_x0000_s1039" o:spt="34" type="#_x0000_t34" style="position:absolute;left:0pt;margin-left:355pt;margin-top:22.7pt;height:23.35pt;width:45.7pt;rotation:11796480f;z-index:251670528;mso-width-relative:page;mso-height-relative:page;" o:connectortype="elbow" filled="f" coordsize="21600,21600" adj="-6948,-125854,-223421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40" o:spid="_x0000_s1040" o:spt="32" type="#_x0000_t32" style="position:absolute;left:0pt;margin-left:99.55pt;margin-top:22.7pt;height:0.05pt;width:162.35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oundrect id="_x0000_s1032" o:spid="_x0000_s1032" o:spt="2" style="position:absolute;left:0pt;margin-left:261.9pt;margin-top:0.15pt;height:46.95pt;width:93.1pt;z-index:25166438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18"/>
                      <w:szCs w:val="18"/>
                    </w:rPr>
                    <w:t>申请人根据前置件目录提供前置件</w:t>
                  </w:r>
                </w:p>
              </w:txbxContent>
            </v:textbox>
          </v:roundrect>
        </w:pict>
      </w:r>
      <w:r>
        <w:pict>
          <v:rect id="_x0000_s1033" o:spid="_x0000_s1033" o:spt="1" style="position:absolute;left:0pt;margin-left:0.6pt;margin-top:4.5pt;height:42.6pt;width:98.9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退回申请材料</w:t>
                  </w:r>
                </w:p>
                <w:p/>
              </w:txbxContent>
            </v:textbox>
          </v:rect>
        </w:pict>
      </w:r>
      <w:r>
        <w:pict>
          <v:shape id="_x0000_s1037" o:spid="_x0000_s1037" o:spt="32" type="#_x0000_t32" style="position:absolute;left:0pt;margin-left:318.05pt;margin-top:67.15pt;height:0pt;width:51.35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rect id="_x0000_s1031" o:spid="_x0000_s1031" o:spt="1" style="position:absolute;left:0pt;margin-left:369.4pt;margin-top:22.75pt;height:38.8pt;width:98.3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18"/>
                      <w:szCs w:val="18"/>
                    </w:rPr>
                    <w:t>前置件不齐全，一次性告知补充前置件</w:t>
                  </w:r>
                </w:p>
              </w:txbxContent>
            </v:textbox>
          </v:rect>
        </w:pict>
      </w:r>
    </w:p>
    <w:p>
      <w:r>
        <w:pict>
          <v:shape id="_x0000_s1071" o:spid="_x0000_s1071" o:spt="34" type="#_x0000_t34" style="position:absolute;left:0pt;flip:x;margin-left:-71.85pt;margin-top:111.4pt;height:20pt;width:243.75pt;rotation:17694720f;z-index:251695104;mso-width-relative:page;mso-height-relative:page;" o:connectortype="elbow" filled="f" coordsize="21600,21600" adj="-76,460458,-11702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6" o:spid="_x0000_s1036" o:spt="32" type="#_x0000_t32" style="position:absolute;left:0pt;margin-left:318.05pt;margin-top:0.55pt;height:43.7pt;width:0.15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rect id="_x0000_s1026" o:spid="_x0000_s1026" o:spt="1" style="position:absolute;left:0pt;margin-left:253.5pt;margin-top:20.95pt;height:29.4pt;width:120.9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受理</w:t>
                  </w:r>
                </w:p>
              </w:txbxContent>
            </v:textbox>
          </v:rect>
        </w:pict>
      </w:r>
    </w:p>
    <w:p>
      <w:r>
        <w:rPr>
          <w:rFonts w:hint="eastAsia"/>
        </w:rPr>
        <w:t xml:space="preserve">                </w:t>
      </w:r>
    </w:p>
    <w:p>
      <w:r>
        <w:pict>
          <v:shape id="_x0000_s1027" o:spid="_x0000_s1027" o:spt="32" type="#_x0000_t32" style="position:absolute;left:0pt;margin-left:318.05pt;margin-top:3.8pt;height:28.45pt;width:0pt;z-index:251659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ind w:firstLine="990" w:firstLineChars="450"/>
      </w:pPr>
      <w:r>
        <w:rPr>
          <w:rFonts w:hint="eastAsia"/>
        </w:rPr>
        <w:t>不符合规定</w:t>
      </w:r>
      <w:bookmarkStart w:id="0" w:name="_GoBack"/>
      <w:bookmarkEnd w:id="0"/>
      <w:r>
        <w:pict>
          <v:rect id="_x0000_s1030" o:spid="_x0000_s1030" o:spt="1" style="position:absolute;left:0pt;margin-left:253.5pt;margin-top:9pt;height:41.9pt;width:125.2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招聘登记表人社局备案</w:t>
                  </w:r>
                </w:p>
              </w:txbxContent>
            </v:textbox>
          </v:rect>
        </w:pict>
      </w:r>
    </w:p>
    <w:p>
      <w:r>
        <w:pict>
          <v:shape id="_x0000_s1035" o:spid="_x0000_s1035" o:spt="32" type="#_x0000_t32" style="position:absolute;left:0pt;margin-left:318pt;margin-top:22.05pt;height:27.5pt;width:0.65pt;z-index:25166745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/>
    <w:p>
      <w:r>
        <w:pict>
          <v:shape id="_x0000_s1062" o:spid="_x0000_s1062" o:spt="32" type="#_x0000_t32" style="position:absolute;left:0pt;margin-left:544.05pt;margin-top:3.55pt;height:32.6pt;width:0pt;z-index:2516858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0" o:spid="_x0000_s1060" o:spt="32" type="#_x0000_t32" style="position:absolute;left:0pt;margin-left:121.45pt;margin-top:3.55pt;height:36.85pt;width:0pt;z-index:2516838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9" o:spid="_x0000_s1059" o:spt="32" type="#_x0000_t32" style="position:absolute;left:0pt;margin-left:121.45pt;margin-top:3.55pt;height:0.05pt;width:422.6pt;z-index:2516828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rect id="_x0000_s1078" o:spid="_x0000_s1078" o:spt="1" style="position:absolute;left:0pt;margin-left:474.7pt;margin-top:12.85pt;height:85.1pt;width:138.85pt;z-index:2516992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人社局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1、是企业招聘登记2、职工参保登记3、档案的接收提供档案查（借）阅服务和转出</w:t>
                  </w:r>
                </w:p>
                <w:p/>
              </w:txbxContent>
            </v:textbox>
          </v:rect>
        </w:pict>
      </w:r>
      <w:r>
        <w:pict>
          <v:rect id="_x0000_s1076" o:spid="_x0000_s1076" o:spt="1" style="position:absolute;left:0pt;margin-left:60.05pt;margin-top:17.1pt;height:90.2pt;width:124pt;z-index:2516971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医保局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基本医疗保险职工参保登记</w:t>
                  </w:r>
                </w:p>
                <w:p/>
              </w:txbxContent>
            </v:textbox>
          </v:rect>
        </w:pict>
      </w:r>
      <w:r>
        <w:rPr>
          <w:rFonts w:hint="eastAsia"/>
        </w:rPr>
        <w:t xml:space="preserve">             </w:t>
      </w:r>
    </w:p>
    <w:p>
      <w:pPr>
        <w:tabs>
          <w:tab w:val="left" w:pos="925"/>
          <w:tab w:val="left" w:pos="6048"/>
        </w:tabs>
      </w:pPr>
      <w:r>
        <w:pict>
          <v:shape id="_x0000_s1066" o:spid="_x0000_s1066" o:spt="32" type="#_x0000_t32" style="position:absolute;left:0pt;margin-left:121.45pt;margin-top:78.45pt;height:16.65pt;width:0.05pt;z-index:2516899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65" o:spid="_x0000_s1065" o:spt="32" type="#_x0000_t32" style="position:absolute;left:0pt;margin-left:121.45pt;margin-top:95.1pt;height:0.05pt;width:423.9pt;z-index:2516889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oundrect id="_x0000_s1056" o:spid="_x0000_s1056" o:spt="2" style="position:absolute;left:0pt;margin-left:252.45pt;margin-top:112.05pt;height:33.2pt;width:131.45pt;z-index:25168076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办结</w:t>
                  </w:r>
                </w:p>
              </w:txbxContent>
            </v:textbox>
          </v:roundrect>
        </w:pict>
      </w:r>
      <w:r>
        <w:tab/>
      </w:r>
      <w:r>
        <w:tab/>
      </w:r>
    </w:p>
    <w:p>
      <w:pPr>
        <w:tabs>
          <w:tab w:val="left" w:pos="925"/>
          <w:tab w:val="left" w:pos="6048"/>
        </w:tabs>
      </w:pPr>
    </w:p>
    <w:p>
      <w:pPr>
        <w:tabs>
          <w:tab w:val="left" w:pos="925"/>
          <w:tab w:val="left" w:pos="6048"/>
        </w:tabs>
      </w:pPr>
      <w:r>
        <w:pict>
          <v:shape id="_x0000_s1068" o:spid="_x0000_s1068" o:spt="32" type="#_x0000_t32" style="position:absolute;left:0pt;margin-left:545.35pt;margin-top:4.85pt;height:20.4pt;width:0.05pt;z-index:2516920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tabs>
          <w:tab w:val="left" w:pos="925"/>
          <w:tab w:val="left" w:pos="6048"/>
        </w:tabs>
        <w:rPr>
          <w:sz w:val="16"/>
          <w:szCs w:val="16"/>
        </w:rPr>
      </w:pPr>
      <w:r>
        <w:pict>
          <v:shape id="_x0000_s1058" o:spid="_x0000_s1058" o:spt="32" type="#_x0000_t32" style="position:absolute;left:0pt;flip:x;margin-left:318pt;margin-top:27.3pt;height:14.95pt;width:0.65pt;z-index:25168179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_x0000_s1080" o:spid="_x0000_s1080" o:spt="32" type="#_x0000_t32" style="position:absolute;left:0pt;margin-left:545.3pt;margin-top:4.85pt;height:20.45pt;width:0.05pt;z-index:2517002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61C7"/>
    <w:rsid w:val="000C1723"/>
    <w:rsid w:val="00323B43"/>
    <w:rsid w:val="00393D83"/>
    <w:rsid w:val="003D37D8"/>
    <w:rsid w:val="00410D99"/>
    <w:rsid w:val="00426133"/>
    <w:rsid w:val="004358AB"/>
    <w:rsid w:val="00483C2A"/>
    <w:rsid w:val="00565CC1"/>
    <w:rsid w:val="005D5EBE"/>
    <w:rsid w:val="005F6610"/>
    <w:rsid w:val="006517E4"/>
    <w:rsid w:val="0069187D"/>
    <w:rsid w:val="00805CAC"/>
    <w:rsid w:val="00814B0F"/>
    <w:rsid w:val="008824FC"/>
    <w:rsid w:val="00887E1C"/>
    <w:rsid w:val="008B7726"/>
    <w:rsid w:val="00934C42"/>
    <w:rsid w:val="00954104"/>
    <w:rsid w:val="00A9618D"/>
    <w:rsid w:val="00B54C00"/>
    <w:rsid w:val="00C93CC1"/>
    <w:rsid w:val="00D31D50"/>
    <w:rsid w:val="00F55CD9"/>
    <w:rsid w:val="00FC071A"/>
    <w:rsid w:val="425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35"/>
        <o:r id="V:Rule3" type="connector" idref="#_x0000_s1036"/>
        <o:r id="V:Rule4" type="connector" idref="#_x0000_s1037"/>
        <o:r id="V:Rule5" type="connector" idref="#_x0000_s1039"/>
        <o:r id="V:Rule6" type="connector" idref="#_x0000_s1040"/>
        <o:r id="V:Rule7" type="connector" idref="#_x0000_s1058"/>
        <o:r id="V:Rule8" type="connector" idref="#_x0000_s1059"/>
        <o:r id="V:Rule9" type="connector" idref="#_x0000_s1060"/>
        <o:r id="V:Rule10" type="connector" idref="#_x0000_s1062"/>
        <o:r id="V:Rule11" type="connector" idref="#_x0000_s1065"/>
        <o:r id="V:Rule12" type="connector" idref="#_x0000_s1066"/>
        <o:r id="V:Rule13" type="connector" idref="#_x0000_s1068"/>
        <o:r id="V:Rule14" type="connector" idref="#_x0000_s1071"/>
        <o:r id="V:Rule15" type="connector" idref="#_x0000_s108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40"/>
    <customShpInfo spid="_x0000_s1032"/>
    <customShpInfo spid="_x0000_s1033"/>
    <customShpInfo spid="_x0000_s1037"/>
    <customShpInfo spid="_x0000_s1031"/>
    <customShpInfo spid="_x0000_s1071"/>
    <customShpInfo spid="_x0000_s1036"/>
    <customShpInfo spid="_x0000_s1026"/>
    <customShpInfo spid="_x0000_s1027"/>
    <customShpInfo spid="_x0000_s1030"/>
    <customShpInfo spid="_x0000_s1035"/>
    <customShpInfo spid="_x0000_s1062"/>
    <customShpInfo spid="_x0000_s1060"/>
    <customShpInfo spid="_x0000_s1059"/>
    <customShpInfo spid="_x0000_s1078"/>
    <customShpInfo spid="_x0000_s1076"/>
    <customShpInfo spid="_x0000_s1066"/>
    <customShpInfo spid="_x0000_s1065"/>
    <customShpInfo spid="_x0000_s1056"/>
    <customShpInfo spid="_x0000_s1068"/>
    <customShpInfo spid="_x0000_s1058"/>
    <customShpInfo spid="_x0000_s108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0D2AA4-65C8-4608-B923-A6F9E5F651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80</Characters>
  <Lines>1</Lines>
  <Paragraphs>1</Paragraphs>
  <TotalTime>81</TotalTime>
  <ScaleCrop>false</ScaleCrop>
  <LinksUpToDate>false</LinksUpToDate>
  <CharactersWithSpaces>92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2020-07-16T01:59:11Z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