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1350"/>
        <w:gridCol w:w="1110"/>
        <w:gridCol w:w="3501"/>
        <w:gridCol w:w="2745"/>
        <w:gridCol w:w="1710"/>
        <w:gridCol w:w="178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9" w:type="dxa"/>
            <w:textDirection w:val="lrTb"/>
            <w:vAlign w:val="top"/>
          </w:tcPr>
          <w:p>
            <w:pPr>
              <w:rPr>
                <w:rFonts w:hint="eastAsia" w:eastAsia="宋体"/>
                <w:lang w:val="en-US" w:eastAsia="zh-CN"/>
              </w:rPr>
            </w:pPr>
            <w:r>
              <w:rPr>
                <w:rFonts w:hint="eastAsia"/>
                <w:lang w:val="en-US" w:eastAsia="zh-CN"/>
              </w:rPr>
              <w:t>序号</w:t>
            </w:r>
          </w:p>
        </w:tc>
        <w:tc>
          <w:tcPr>
            <w:tcW w:w="1350" w:type="dxa"/>
            <w:textDirection w:val="lrTb"/>
            <w:vAlign w:val="top"/>
          </w:tcPr>
          <w:p>
            <w:pPr>
              <w:jc w:val="center"/>
              <w:rPr>
                <w:rFonts w:hint="eastAsia" w:eastAsia="宋体"/>
                <w:lang w:eastAsia="zh-CN"/>
              </w:rPr>
            </w:pPr>
            <w:r>
              <w:rPr>
                <w:rFonts w:hint="eastAsia"/>
                <w:lang w:eastAsia="zh-CN"/>
              </w:rPr>
              <w:t>部门名称</w:t>
            </w:r>
          </w:p>
        </w:tc>
        <w:tc>
          <w:tcPr>
            <w:tcW w:w="1110" w:type="dxa"/>
            <w:textDirection w:val="lrTb"/>
            <w:vAlign w:val="top"/>
          </w:tcPr>
          <w:p>
            <w:pPr>
              <w:rPr>
                <w:rFonts w:hint="eastAsia" w:eastAsia="宋体"/>
                <w:lang w:eastAsia="zh-CN"/>
              </w:rPr>
            </w:pPr>
            <w:r>
              <w:rPr>
                <w:rFonts w:hint="eastAsia"/>
                <w:lang w:eastAsia="zh-CN"/>
              </w:rPr>
              <w:t>抽查事项</w:t>
            </w:r>
          </w:p>
        </w:tc>
        <w:tc>
          <w:tcPr>
            <w:tcW w:w="3501" w:type="dxa"/>
            <w:textDirection w:val="lrTb"/>
            <w:vAlign w:val="top"/>
          </w:tcPr>
          <w:p>
            <w:pPr>
              <w:rPr>
                <w:rFonts w:hint="eastAsia" w:eastAsia="宋体"/>
                <w:lang w:eastAsia="zh-CN"/>
              </w:rPr>
            </w:pPr>
            <w:r>
              <w:rPr>
                <w:rFonts w:hint="eastAsia"/>
                <w:lang w:eastAsia="zh-CN"/>
              </w:rPr>
              <w:t>抽查依据</w:t>
            </w:r>
          </w:p>
        </w:tc>
        <w:tc>
          <w:tcPr>
            <w:tcW w:w="2745" w:type="dxa"/>
            <w:textDirection w:val="lrTb"/>
            <w:vAlign w:val="top"/>
          </w:tcPr>
          <w:p>
            <w:pPr>
              <w:rPr>
                <w:rFonts w:hint="eastAsia" w:eastAsia="宋体"/>
                <w:lang w:eastAsia="zh-CN"/>
              </w:rPr>
            </w:pPr>
            <w:r>
              <w:rPr>
                <w:rFonts w:hint="eastAsia"/>
                <w:lang w:eastAsia="zh-CN"/>
              </w:rPr>
              <w:t>抽查内容</w:t>
            </w:r>
          </w:p>
        </w:tc>
        <w:tc>
          <w:tcPr>
            <w:tcW w:w="1710" w:type="dxa"/>
            <w:textDirection w:val="lrTb"/>
            <w:vAlign w:val="top"/>
          </w:tcPr>
          <w:p>
            <w:pPr>
              <w:rPr>
                <w:rFonts w:hint="eastAsia" w:eastAsia="宋体"/>
                <w:lang w:eastAsia="zh-CN"/>
              </w:rPr>
            </w:pPr>
            <w:r>
              <w:rPr>
                <w:rFonts w:hint="eastAsia"/>
                <w:lang w:eastAsia="zh-CN"/>
              </w:rPr>
              <w:t>抽查主体</w:t>
            </w:r>
          </w:p>
        </w:tc>
        <w:tc>
          <w:tcPr>
            <w:tcW w:w="1785" w:type="dxa"/>
            <w:textDirection w:val="lrTb"/>
            <w:vAlign w:val="top"/>
          </w:tcPr>
          <w:p>
            <w:pPr>
              <w:rPr>
                <w:rFonts w:hint="eastAsia" w:eastAsia="宋体"/>
                <w:lang w:eastAsia="zh-CN"/>
              </w:rPr>
            </w:pPr>
            <w:r>
              <w:rPr>
                <w:rFonts w:hint="eastAsia"/>
                <w:lang w:eastAsia="zh-CN"/>
              </w:rPr>
              <w:t>抽查方式</w:t>
            </w:r>
          </w:p>
        </w:tc>
        <w:tc>
          <w:tcPr>
            <w:tcW w:w="1350" w:type="dxa"/>
            <w:textDirection w:val="lrTb"/>
            <w:vAlign w:val="top"/>
          </w:tcPr>
          <w:p>
            <w:pPr>
              <w:rPr>
                <w:rFonts w:hint="eastAsia" w:eastAsia="宋体"/>
                <w:lang w:eastAsia="zh-CN"/>
              </w:rPr>
            </w:pPr>
            <w:r>
              <w:rPr>
                <w:rFonts w:hint="eastAsia"/>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9" w:type="dxa"/>
            <w:textDirection w:val="lrTb"/>
            <w:vAlign w:val="top"/>
          </w:tcPr>
          <w:p>
            <w:pPr>
              <w:rPr>
                <w:rFonts w:hint="eastAsia" w:eastAsia="宋体"/>
                <w:lang w:val="en-US" w:eastAsia="zh-CN"/>
              </w:rPr>
            </w:pPr>
            <w:r>
              <w:rPr>
                <w:rFonts w:hint="eastAsia"/>
                <w:lang w:val="en-US" w:eastAsia="zh-CN"/>
              </w:rPr>
              <w:t>1</w:t>
            </w:r>
          </w:p>
        </w:tc>
        <w:tc>
          <w:tcPr>
            <w:tcW w:w="1350" w:type="dxa"/>
            <w:textDirection w:val="lrTb"/>
            <w:vAlign w:val="top"/>
          </w:tcPr>
          <w:p>
            <w:pPr>
              <w:rPr>
                <w:rFonts w:hint="eastAsia" w:eastAsia="宋体"/>
                <w:lang w:eastAsia="zh-CN"/>
              </w:rPr>
            </w:pPr>
            <w:r>
              <w:rPr>
                <w:rFonts w:hint="eastAsia"/>
                <w:lang w:eastAsia="zh-CN"/>
              </w:rPr>
              <w:t>抚远市公安局</w:t>
            </w:r>
          </w:p>
        </w:tc>
        <w:tc>
          <w:tcPr>
            <w:tcW w:w="1110" w:type="dxa"/>
            <w:textDirection w:val="lrTb"/>
            <w:vAlign w:val="top"/>
          </w:tcPr>
          <w:p>
            <w:pPr>
              <w:ind w:firstLine="456" w:firstLineChars="0"/>
              <w:rPr>
                <w:rFonts w:hint="eastAsia" w:eastAsia="宋体"/>
                <w:lang w:eastAsia="zh-CN"/>
              </w:rPr>
            </w:pPr>
            <w:r>
              <w:rPr>
                <w:rFonts w:hint="eastAsia"/>
                <w:lang w:eastAsia="zh-CN"/>
              </w:rPr>
              <w:t>对互联网上网服务营业场所的常规检查</w:t>
            </w:r>
          </w:p>
        </w:tc>
        <w:tc>
          <w:tcPr>
            <w:tcW w:w="3501" w:type="dxa"/>
            <w:textDirection w:val="lrTb"/>
            <w:vAlign w:val="top"/>
          </w:tcPr>
          <w:p>
            <w:r>
              <w:rPr>
                <w:rFonts w:hint="eastAsia"/>
              </w:rPr>
              <w:t>《互联网上网服务营业场所管理条例》(2002年国务院令第363号，2016年2月6日修正)  第三十二条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一)向上网消费者提供的计算机未通过局域网的方式接入互联网的；(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五)变更名称、住所、法定代表人或者主要负责人、注册资本、网络地址或者终止经营活动，未向文化行政部门、公安机关办理有关手续或者备案的。</w:t>
            </w:r>
          </w:p>
        </w:tc>
        <w:tc>
          <w:tcPr>
            <w:tcW w:w="2745" w:type="dxa"/>
            <w:textDirection w:val="lrTb"/>
            <w:vAlign w:val="top"/>
          </w:tcPr>
          <w:p>
            <w:r>
              <w:rPr>
                <w:rFonts w:hint="eastAsia"/>
              </w:rPr>
              <w:t>互联网上网服务营业场所</w:t>
            </w:r>
            <w:r>
              <w:rPr>
                <w:rFonts w:hint="eastAsia"/>
                <w:lang w:eastAsia="zh-CN"/>
              </w:rPr>
              <w:t>是否</w:t>
            </w:r>
            <w:r>
              <w:rPr>
                <w:rFonts w:hint="eastAsia"/>
              </w:rPr>
              <w:t>向上网消费者提供的计算机未通过局域网的方式接入互联网;建立场内巡查制度</w:t>
            </w:r>
            <w:r>
              <w:rPr>
                <w:rFonts w:hint="eastAsia"/>
                <w:lang w:eastAsia="zh-CN"/>
              </w:rPr>
              <w:t>情况</w:t>
            </w:r>
            <w:r>
              <w:rPr>
                <w:rFonts w:hint="eastAsia"/>
              </w:rPr>
              <w:t>，</w:t>
            </w:r>
            <w:r>
              <w:rPr>
                <w:rFonts w:hint="eastAsia"/>
                <w:lang w:eastAsia="zh-CN"/>
              </w:rPr>
              <w:t>是否存在</w:t>
            </w:r>
            <w:r>
              <w:rPr>
                <w:rFonts w:hint="eastAsia"/>
              </w:rPr>
              <w:t>发现上网消费者的违法行为未予制止并向文化行政部门、公安机关举报</w:t>
            </w:r>
            <w:r>
              <w:rPr>
                <w:rFonts w:hint="eastAsia"/>
                <w:lang w:eastAsia="zh-CN"/>
              </w:rPr>
              <w:t>的情况</w:t>
            </w:r>
            <w:r>
              <w:rPr>
                <w:rFonts w:hint="eastAsia"/>
              </w:rPr>
              <w:t>;按规定核对、登记上网消费者的有效身份证件或者记录有关上网信息</w:t>
            </w:r>
            <w:r>
              <w:rPr>
                <w:rFonts w:hint="eastAsia"/>
                <w:lang w:eastAsia="zh-CN"/>
              </w:rPr>
              <w:t>情况</w:t>
            </w:r>
            <w:r>
              <w:rPr>
                <w:rFonts w:hint="eastAsia"/>
              </w:rPr>
              <w:t>;按规定时间保存登记内容、记录备份</w:t>
            </w:r>
            <w:r>
              <w:rPr>
                <w:rFonts w:hint="eastAsia"/>
                <w:lang w:eastAsia="zh-CN"/>
              </w:rPr>
              <w:t>情况，</w:t>
            </w:r>
            <w:r>
              <w:rPr>
                <w:rFonts w:hint="eastAsia"/>
              </w:rPr>
              <w:t>或者</w:t>
            </w:r>
            <w:r>
              <w:rPr>
                <w:rFonts w:hint="eastAsia"/>
                <w:lang w:eastAsia="zh-CN"/>
              </w:rPr>
              <w:t>是否</w:t>
            </w:r>
            <w:r>
              <w:rPr>
                <w:rFonts w:hint="eastAsia"/>
              </w:rPr>
              <w:t>在保存期内修改、删除登记内容、记录备份;变更名称、住所、法定代表人或者主要负责人、注册资本、网络地址或者终止经营活动，向文化行政部门、公安机关办理有关手续或者备案</w:t>
            </w:r>
            <w:r>
              <w:rPr>
                <w:rFonts w:hint="eastAsia"/>
                <w:lang w:eastAsia="zh-CN"/>
              </w:rPr>
              <w:t>的情况。</w:t>
            </w:r>
          </w:p>
        </w:tc>
        <w:tc>
          <w:tcPr>
            <w:tcW w:w="1710" w:type="dxa"/>
            <w:textDirection w:val="lrTb"/>
            <w:vAlign w:val="top"/>
          </w:tcPr>
          <w:p>
            <w:pPr>
              <w:rPr>
                <w:rFonts w:hint="eastAsia" w:eastAsia="宋体"/>
                <w:lang w:eastAsia="zh-CN"/>
              </w:rPr>
            </w:pPr>
            <w:r>
              <w:rPr>
                <w:rFonts w:hint="eastAsia"/>
                <w:lang w:eastAsia="zh-CN"/>
              </w:rPr>
              <w:t>市内各互联网上网服务营业场所</w:t>
            </w:r>
          </w:p>
        </w:tc>
        <w:tc>
          <w:tcPr>
            <w:tcW w:w="1785" w:type="dxa"/>
            <w:textDirection w:val="lrTb"/>
            <w:vAlign w:val="top"/>
          </w:tcPr>
          <w:p>
            <w:pPr>
              <w:rPr>
                <w:rFonts w:hint="eastAsia" w:eastAsia="宋体"/>
                <w:lang w:eastAsia="zh-CN"/>
              </w:rPr>
            </w:pPr>
            <w:r>
              <w:rPr>
                <w:rFonts w:hint="eastAsia"/>
                <w:lang w:eastAsia="zh-CN"/>
              </w:rPr>
              <w:t>定期年检和随机抽查相结合</w:t>
            </w:r>
          </w:p>
        </w:tc>
        <w:tc>
          <w:tcPr>
            <w:tcW w:w="1350" w:type="dxa"/>
            <w:textDirection w:val="lrTb"/>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9" w:type="dxa"/>
            <w:textDirection w:val="lrTb"/>
            <w:vAlign w:val="top"/>
          </w:tcPr>
          <w:p>
            <w:pPr>
              <w:rPr>
                <w:rFonts w:hint="eastAsia"/>
                <w:lang w:val="en-US" w:eastAsia="zh-CN"/>
              </w:rPr>
            </w:pPr>
            <w:r>
              <w:rPr>
                <w:rFonts w:hint="eastAsia"/>
                <w:lang w:val="en-US" w:eastAsia="zh-CN"/>
              </w:rPr>
              <w:t>序号</w:t>
            </w:r>
          </w:p>
        </w:tc>
        <w:tc>
          <w:tcPr>
            <w:tcW w:w="1350" w:type="dxa"/>
            <w:textDirection w:val="lrTb"/>
            <w:vAlign w:val="top"/>
          </w:tcPr>
          <w:p>
            <w:pPr>
              <w:jc w:val="center"/>
              <w:rPr>
                <w:rFonts w:hint="eastAsia"/>
                <w:lang w:eastAsia="zh-CN"/>
              </w:rPr>
            </w:pPr>
            <w:r>
              <w:rPr>
                <w:rFonts w:hint="eastAsia"/>
                <w:lang w:eastAsia="zh-CN"/>
              </w:rPr>
              <w:t>部门名称</w:t>
            </w:r>
          </w:p>
        </w:tc>
        <w:tc>
          <w:tcPr>
            <w:tcW w:w="1110" w:type="dxa"/>
            <w:textDirection w:val="lrTb"/>
            <w:vAlign w:val="top"/>
          </w:tcPr>
          <w:p>
            <w:pPr>
              <w:rPr>
                <w:rFonts w:hint="eastAsia"/>
                <w:lang w:eastAsia="zh-CN"/>
              </w:rPr>
            </w:pPr>
            <w:r>
              <w:rPr>
                <w:rFonts w:hint="eastAsia"/>
                <w:lang w:eastAsia="zh-CN"/>
              </w:rPr>
              <w:t>抽查事项</w:t>
            </w:r>
          </w:p>
        </w:tc>
        <w:tc>
          <w:tcPr>
            <w:tcW w:w="3501" w:type="dxa"/>
            <w:textDirection w:val="lrTb"/>
            <w:vAlign w:val="top"/>
          </w:tcPr>
          <w:p>
            <w:pPr>
              <w:rPr>
                <w:rFonts w:hint="eastAsia"/>
              </w:rPr>
            </w:pPr>
            <w:r>
              <w:rPr>
                <w:rFonts w:hint="eastAsia"/>
                <w:lang w:eastAsia="zh-CN"/>
              </w:rPr>
              <w:t>抽查依据</w:t>
            </w:r>
          </w:p>
        </w:tc>
        <w:tc>
          <w:tcPr>
            <w:tcW w:w="2745" w:type="dxa"/>
            <w:textDirection w:val="lrTb"/>
            <w:vAlign w:val="top"/>
          </w:tcPr>
          <w:p>
            <w:pPr>
              <w:rPr>
                <w:rFonts w:hint="eastAsia"/>
              </w:rPr>
            </w:pPr>
            <w:r>
              <w:rPr>
                <w:rFonts w:hint="eastAsia"/>
                <w:lang w:eastAsia="zh-CN"/>
              </w:rPr>
              <w:t>抽查内容</w:t>
            </w:r>
          </w:p>
        </w:tc>
        <w:tc>
          <w:tcPr>
            <w:tcW w:w="1710" w:type="dxa"/>
            <w:textDirection w:val="lrTb"/>
            <w:vAlign w:val="top"/>
          </w:tcPr>
          <w:p>
            <w:pPr>
              <w:rPr>
                <w:rFonts w:hint="eastAsia"/>
                <w:lang w:eastAsia="zh-CN"/>
              </w:rPr>
            </w:pPr>
            <w:r>
              <w:rPr>
                <w:rFonts w:hint="eastAsia"/>
                <w:lang w:eastAsia="zh-CN"/>
              </w:rPr>
              <w:t>抽查主体</w:t>
            </w:r>
          </w:p>
        </w:tc>
        <w:tc>
          <w:tcPr>
            <w:tcW w:w="1785" w:type="dxa"/>
            <w:textDirection w:val="lrTb"/>
            <w:vAlign w:val="top"/>
          </w:tcPr>
          <w:p>
            <w:pPr>
              <w:rPr>
                <w:rFonts w:hint="eastAsia"/>
                <w:lang w:eastAsia="zh-CN"/>
              </w:rPr>
            </w:pPr>
            <w:r>
              <w:rPr>
                <w:rFonts w:hint="eastAsia"/>
                <w:lang w:eastAsia="zh-CN"/>
              </w:rPr>
              <w:t>抽查方式</w:t>
            </w:r>
          </w:p>
        </w:tc>
        <w:tc>
          <w:tcPr>
            <w:tcW w:w="1350" w:type="dxa"/>
            <w:textDirection w:val="lrTb"/>
            <w:vAlign w:val="top"/>
          </w:tcPr>
          <w:p>
            <w:r>
              <w:rPr>
                <w:rFonts w:hint="eastAsia"/>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9" w:type="dxa"/>
            <w:textDirection w:val="lrTb"/>
            <w:vAlign w:val="top"/>
          </w:tcPr>
          <w:p>
            <w:pPr>
              <w:rPr>
                <w:rFonts w:hint="eastAsia"/>
                <w:lang w:val="en-US" w:eastAsia="zh-CN"/>
              </w:rPr>
            </w:pPr>
            <w:r>
              <w:rPr>
                <w:rFonts w:hint="eastAsia"/>
                <w:lang w:val="en-US" w:eastAsia="zh-CN"/>
              </w:rPr>
              <w:t>2</w:t>
            </w:r>
          </w:p>
        </w:tc>
        <w:tc>
          <w:tcPr>
            <w:tcW w:w="1350" w:type="dxa"/>
            <w:textDirection w:val="lrTb"/>
            <w:vAlign w:val="top"/>
          </w:tcPr>
          <w:p>
            <w:pPr>
              <w:rPr>
                <w:rFonts w:hint="eastAsia"/>
                <w:lang w:eastAsia="zh-CN"/>
              </w:rPr>
            </w:pPr>
            <w:r>
              <w:rPr>
                <w:rFonts w:hint="eastAsia"/>
                <w:lang w:eastAsia="zh-CN"/>
              </w:rPr>
              <w:t>抚远市公安局</w:t>
            </w:r>
          </w:p>
        </w:tc>
        <w:tc>
          <w:tcPr>
            <w:tcW w:w="1110" w:type="dxa"/>
            <w:textDirection w:val="lrTb"/>
            <w:vAlign w:val="top"/>
          </w:tcPr>
          <w:p>
            <w:pPr>
              <w:ind w:firstLine="456" w:firstLineChars="0"/>
              <w:rPr>
                <w:rFonts w:hint="eastAsia"/>
                <w:lang w:eastAsia="zh-CN"/>
              </w:rPr>
            </w:pPr>
            <w:r>
              <w:rPr>
                <w:rFonts w:hint="eastAsia"/>
                <w:lang w:eastAsia="zh-CN"/>
              </w:rPr>
              <w:t>对互联网上网服务营业场所的安全检查</w:t>
            </w:r>
          </w:p>
        </w:tc>
        <w:tc>
          <w:tcPr>
            <w:tcW w:w="3501" w:type="dxa"/>
            <w:textDirection w:val="lrTb"/>
            <w:vAlign w:val="center"/>
          </w:tcPr>
          <w:p>
            <w:pPr>
              <w:widowControl/>
              <w:jc w:val="left"/>
              <w:textAlignment w:val="center"/>
              <w:rPr>
                <w:rFonts w:hint="eastAsia"/>
              </w:rPr>
            </w:pPr>
            <w:r>
              <w:rPr>
                <w:rFonts w:hint="eastAsia" w:ascii="宋体" w:hAnsi="宋体" w:eastAsia="宋体" w:cs="宋体"/>
                <w:b/>
                <w:i w:val="0"/>
                <w:color w:val="000000"/>
                <w:kern w:val="0"/>
                <w:sz w:val="22"/>
                <w:szCs w:val="22"/>
                <w:u w:val="none"/>
                <w:lang w:val="en-US" w:eastAsia="zh-CN"/>
              </w:rPr>
              <w:t xml:space="preserve">  </w:t>
            </w:r>
            <w:r>
              <w:rPr>
                <w:rStyle w:val="3"/>
                <w:lang w:val="en-US" w:eastAsia="zh-CN"/>
              </w:rPr>
              <w:t xml:space="preserve">《互联网上网服务营业场所管理条例》(2002年国务院令第363号，2016年2月6日修正)   </w:t>
            </w:r>
            <w:r>
              <w:rPr>
                <w:rStyle w:val="4"/>
                <w:color w:val="auto"/>
                <w:lang w:val="en-US" w:eastAsia="zh-CN"/>
              </w:rPr>
              <w:t>第三十三条</w:t>
            </w:r>
            <w:r>
              <w:rPr>
                <w:rStyle w:val="3"/>
                <w:lang w:val="en-US" w:eastAsia="zh-CN"/>
              </w:rPr>
              <w:t xml:space="preserve"> 互联网上网服务营业场所经营单位违反本条例的规定，有下列行为之一的，由公安机关给予警告，可以并处15000元以下的罚款；情节严重的，责令停业整顿，直至由文化行政部门吊销《网络文化经营许可证》：(一)利用明火照明或者发现吸烟不予制止，或者未悬挂禁止吸烟标志的；(二)允许带入或者存放易燃、易爆物品的；(三)在营业场所安装固定的封闭门窗栅栏的；(四)营业期间封堵或者锁闭门窗、安全疏散通道或者安全出口的；（五）擅自停止实施安全技术措施的。</w:t>
            </w:r>
          </w:p>
        </w:tc>
        <w:tc>
          <w:tcPr>
            <w:tcW w:w="2745" w:type="dxa"/>
            <w:textDirection w:val="lrTb"/>
            <w:vAlign w:val="center"/>
          </w:tcPr>
          <w:p>
            <w:pPr>
              <w:widowControl/>
              <w:jc w:val="center"/>
              <w:textAlignment w:val="center"/>
              <w:rPr>
                <w:rFonts w:hint="eastAsia"/>
              </w:rPr>
            </w:pPr>
            <w:r>
              <w:rPr>
                <w:rFonts w:hint="eastAsia" w:ascii="宋体" w:hAnsi="宋体" w:eastAsia="宋体" w:cs="宋体"/>
                <w:i w:val="0"/>
                <w:color w:val="000000"/>
                <w:kern w:val="0"/>
                <w:sz w:val="22"/>
                <w:szCs w:val="22"/>
                <w:u w:val="none"/>
                <w:lang w:val="en-US" w:eastAsia="zh-CN"/>
              </w:rPr>
              <w:t>互联网上网服务营业场所经营单位利用明火照明或者是否存在发现吸烟不予制止的情况，是否悬挂禁止吸烟标志；是否允许带入或者存放易燃、易爆物品；是否在营业场所安装固定的封闭门窗栅栏；是否在营业期间封堵或者锁闭门窗、安全疏散通道或者安全出口；实施安全技术措施的情况。</w:t>
            </w:r>
          </w:p>
        </w:tc>
        <w:tc>
          <w:tcPr>
            <w:tcW w:w="1710" w:type="dxa"/>
            <w:textDirection w:val="lrTb"/>
            <w:vAlign w:val="top"/>
          </w:tcPr>
          <w:p>
            <w:pPr>
              <w:rPr>
                <w:rFonts w:hint="eastAsia"/>
                <w:lang w:eastAsia="zh-CN"/>
              </w:rPr>
            </w:pPr>
            <w:r>
              <w:rPr>
                <w:rFonts w:hint="eastAsia"/>
                <w:lang w:eastAsia="zh-CN"/>
              </w:rPr>
              <w:t>市内各互联网上网服务营业场所</w:t>
            </w:r>
          </w:p>
        </w:tc>
        <w:tc>
          <w:tcPr>
            <w:tcW w:w="1785" w:type="dxa"/>
            <w:textDirection w:val="lrTb"/>
            <w:vAlign w:val="top"/>
          </w:tcPr>
          <w:p>
            <w:pPr>
              <w:rPr>
                <w:rFonts w:hint="eastAsia"/>
                <w:lang w:eastAsia="zh-CN"/>
              </w:rPr>
            </w:pPr>
            <w:r>
              <w:rPr>
                <w:rFonts w:hint="eastAsia"/>
                <w:lang w:eastAsia="zh-CN"/>
              </w:rPr>
              <w:t>定期检查和随机抽查相结合</w:t>
            </w:r>
          </w:p>
        </w:tc>
        <w:tc>
          <w:tcPr>
            <w:tcW w:w="1350" w:type="dxa"/>
            <w:textDirection w:val="lrTb"/>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9" w:type="dxa"/>
            <w:textDirection w:val="lrTb"/>
            <w:vAlign w:val="top"/>
          </w:tcPr>
          <w:p>
            <w:pPr>
              <w:autoSpaceDN w:val="0"/>
              <w:jc w:val="center"/>
              <w:textAlignment w:val="top"/>
              <w:rPr>
                <w:rFonts w:hint="eastAsia"/>
                <w:lang w:val="en-US" w:eastAsia="zh-CN"/>
              </w:rPr>
            </w:pPr>
            <w:r>
              <w:rPr>
                <w:rFonts w:hint="default" w:ascii="宋体" w:hAnsi="宋体" w:eastAsia="宋体"/>
                <w:b w:val="0"/>
                <w:i w:val="0"/>
                <w:color w:val="000000"/>
                <w:sz w:val="22"/>
                <w:u w:val="none"/>
                <w:lang w:eastAsia="zh-CN"/>
              </w:rPr>
              <w:t>1</w:t>
            </w:r>
          </w:p>
        </w:tc>
        <w:tc>
          <w:tcPr>
            <w:tcW w:w="1350" w:type="dxa"/>
            <w:textDirection w:val="lrTb"/>
            <w:vAlign w:val="top"/>
          </w:tcPr>
          <w:p>
            <w:pPr>
              <w:autoSpaceDN w:val="0"/>
              <w:jc w:val="center"/>
              <w:textAlignment w:val="top"/>
              <w:rPr>
                <w:rFonts w:hint="eastAsia"/>
                <w:lang w:eastAsia="zh-CN"/>
              </w:rPr>
            </w:pPr>
            <w:r>
              <w:rPr>
                <w:rFonts w:hint="default" w:ascii="宋体" w:hAnsi="宋体" w:eastAsia="宋体"/>
                <w:b w:val="0"/>
                <w:i w:val="0"/>
                <w:color w:val="000000"/>
                <w:sz w:val="22"/>
                <w:u w:val="none"/>
                <w:lang w:eastAsia="zh-CN"/>
              </w:rPr>
              <w:t>抚远市公安局经保大队</w:t>
            </w:r>
          </w:p>
        </w:tc>
        <w:tc>
          <w:tcPr>
            <w:tcW w:w="1110" w:type="dxa"/>
            <w:textDirection w:val="lrTb"/>
            <w:vAlign w:val="top"/>
          </w:tcPr>
          <w:p>
            <w:pPr>
              <w:autoSpaceDN w:val="0"/>
              <w:jc w:val="center"/>
              <w:textAlignment w:val="top"/>
              <w:rPr>
                <w:rFonts w:hint="eastAsia"/>
                <w:lang w:eastAsia="zh-CN"/>
              </w:rPr>
            </w:pPr>
            <w:r>
              <w:rPr>
                <w:rFonts w:hint="default" w:ascii="宋体" w:hAnsi="宋体" w:eastAsia="宋体"/>
                <w:b w:val="0"/>
                <w:i w:val="0"/>
                <w:color w:val="000000"/>
                <w:sz w:val="22"/>
                <w:u w:val="none"/>
                <w:lang w:eastAsia="zh-CN"/>
              </w:rPr>
              <w:t>对安全技术防范系统的设计、安装、验收，安全技术防范系统中使用的产品，安全技术防范系统整合，安装、使用和运营服务单位的监督检查</w:t>
            </w:r>
          </w:p>
        </w:tc>
        <w:tc>
          <w:tcPr>
            <w:tcW w:w="3501" w:type="dxa"/>
            <w:textDirection w:val="lrTb"/>
            <w:vAlign w:val="top"/>
          </w:tcPr>
          <w:p>
            <w:pPr>
              <w:autoSpaceDN w:val="0"/>
              <w:jc w:val="left"/>
              <w:textAlignment w:val="top"/>
              <w:rPr>
                <w:rFonts w:hint="eastAsia" w:ascii="宋体" w:hAnsi="宋体" w:eastAsia="宋体" w:cs="宋体"/>
                <w:b/>
                <w:i w:val="0"/>
                <w:color w:val="000000"/>
                <w:kern w:val="0"/>
                <w:sz w:val="22"/>
                <w:szCs w:val="22"/>
                <w:u w:val="none"/>
                <w:lang w:val="en-US" w:eastAsia="zh-CN"/>
              </w:rPr>
            </w:pPr>
            <w:r>
              <w:rPr>
                <w:rFonts w:hint="default" w:ascii="宋体" w:hAnsi="宋体" w:eastAsia="宋体"/>
                <w:b/>
                <w:i w:val="0"/>
                <w:color w:val="000000"/>
                <w:sz w:val="22"/>
                <w:u w:val="none"/>
                <w:lang w:eastAsia="zh-CN"/>
              </w:rPr>
              <w:t xml:space="preserve">地方性法规  </w:t>
            </w:r>
            <w:r>
              <w:rPr>
                <w:rFonts w:hint="default" w:ascii="宋体" w:hAnsi="宋体" w:eastAsia="宋体"/>
                <w:b w:val="0"/>
                <w:i w:val="0"/>
                <w:color w:val="000000"/>
                <w:sz w:val="22"/>
                <w:u w:val="none"/>
                <w:lang w:eastAsia="zh-CN"/>
              </w:rPr>
              <w:t>《黑龙江省公共安全技术防范条例》（2015年4月17日修正) 第三十一条 县级以上人民政府公安机关对应当安装安全技术防范系统而未安装的单位，督促其限期安装；对已安装安全技术防范系统的单位，督促其建立日常运行维护、信息管理和使用、相关档案资料管理等具体制度，并对安装、使用和运营服务单位进行定期检查。</w:t>
            </w:r>
          </w:p>
        </w:tc>
        <w:tc>
          <w:tcPr>
            <w:tcW w:w="2745" w:type="dxa"/>
            <w:textDirection w:val="lrTb"/>
            <w:vAlign w:val="center"/>
          </w:tcPr>
          <w:p>
            <w:pPr>
              <w:autoSpaceDN w:val="0"/>
              <w:jc w:val="left"/>
              <w:textAlignment w:val="center"/>
              <w:rPr>
                <w:rFonts w:hint="eastAsia" w:ascii="宋体" w:hAnsi="宋体" w:eastAsia="宋体" w:cs="宋体"/>
                <w:i w:val="0"/>
                <w:color w:val="000000"/>
                <w:kern w:val="0"/>
                <w:sz w:val="22"/>
                <w:szCs w:val="22"/>
                <w:u w:val="none"/>
                <w:lang w:val="en-US" w:eastAsia="zh-CN"/>
              </w:rPr>
            </w:pPr>
            <w:r>
              <w:rPr>
                <w:rFonts w:hint="default" w:ascii="宋体" w:hAnsi="宋体" w:eastAsia="宋体"/>
                <w:b w:val="0"/>
                <w:i w:val="0"/>
                <w:color w:val="000000"/>
                <w:sz w:val="22"/>
                <w:u w:val="none"/>
                <w:lang w:eastAsia="zh-CN"/>
              </w:rPr>
              <w:t>1.是否安装安全技术防范系统</w:t>
            </w:r>
            <w:r>
              <w:rPr>
                <w:rFonts w:hint="default" w:ascii="宋体" w:hAnsi="宋体" w:eastAsia="宋体"/>
                <w:b w:val="0"/>
                <w:i w:val="0"/>
                <w:color w:val="000000"/>
                <w:sz w:val="22"/>
                <w:u w:val="none"/>
                <w:lang w:eastAsia="zh-CN"/>
              </w:rPr>
              <w:br/>
            </w:r>
            <w:r>
              <w:rPr>
                <w:rFonts w:hint="default" w:ascii="宋体" w:hAnsi="宋体" w:eastAsia="宋体"/>
                <w:b w:val="0"/>
                <w:i w:val="0"/>
                <w:color w:val="000000"/>
                <w:sz w:val="22"/>
                <w:u w:val="none"/>
                <w:lang w:eastAsia="zh-CN"/>
              </w:rPr>
              <w:t>2.是否建立日常运行维护、信息管理和使用、相关档案资料管理等具体制度</w:t>
            </w:r>
          </w:p>
        </w:tc>
        <w:tc>
          <w:tcPr>
            <w:tcW w:w="1710" w:type="dxa"/>
            <w:textDirection w:val="lrTb"/>
            <w:vAlign w:val="center"/>
          </w:tcPr>
          <w:p>
            <w:pPr>
              <w:autoSpaceDN w:val="0"/>
              <w:jc w:val="left"/>
              <w:textAlignment w:val="center"/>
              <w:rPr>
                <w:rFonts w:hint="eastAsia"/>
                <w:lang w:eastAsia="zh-CN"/>
              </w:rPr>
            </w:pPr>
            <w:r>
              <w:rPr>
                <w:rFonts w:hint="default" w:ascii="宋体" w:hAnsi="宋体" w:eastAsia="宋体"/>
                <w:b w:val="0"/>
                <w:i w:val="0"/>
                <w:color w:val="000000"/>
                <w:sz w:val="22"/>
                <w:u w:val="none"/>
                <w:lang w:eastAsia="zh-CN"/>
              </w:rPr>
              <w:t>人民银行；工商银行；中国农业银行；中国建设银行；中国农业发展银行；中国银行；中国邮政储蓄银行；中国邮政集团公司；农村信用合作联社；中国人寿保险公司；人民财产保险；润龙押运；金盾保安公司；供排水公司；新世纪热力有限公司；抚远供电公司；中国石油天然气公司；国光液化石油气公司；广播电视网络公司；移动；联通；电信；海清粮库；大连良运粮油购销有限公司</w:t>
            </w:r>
            <w:r>
              <w:rPr>
                <w:rFonts w:hint="eastAsia" w:ascii="宋体" w:hAnsi="宋体"/>
                <w:b w:val="0"/>
                <w:i w:val="0"/>
                <w:color w:val="000000"/>
                <w:sz w:val="22"/>
                <w:u w:val="none"/>
                <w:lang w:eastAsia="zh-CN"/>
              </w:rPr>
              <w:t>；</w:t>
            </w:r>
            <w:r>
              <w:rPr>
                <w:rFonts w:hint="default" w:ascii="宋体" w:hAnsi="宋体" w:eastAsia="宋体"/>
                <w:b w:val="0"/>
                <w:i w:val="0"/>
                <w:color w:val="000000"/>
                <w:sz w:val="22"/>
                <w:u w:val="none"/>
                <w:lang w:eastAsia="zh-CN"/>
              </w:rPr>
              <w:t>金谷隆凯</w:t>
            </w:r>
            <w:r>
              <w:rPr>
                <w:rFonts w:hint="eastAsia" w:ascii="宋体" w:hAnsi="宋体"/>
                <w:b w:val="0"/>
                <w:i w:val="0"/>
                <w:color w:val="000000"/>
                <w:sz w:val="22"/>
                <w:u w:val="none"/>
                <w:lang w:eastAsia="zh-CN"/>
              </w:rPr>
              <w:t>粮</w:t>
            </w:r>
            <w:r>
              <w:rPr>
                <w:rFonts w:hint="default" w:ascii="宋体" w:hAnsi="宋体" w:eastAsia="宋体"/>
                <w:b w:val="0"/>
                <w:i w:val="0"/>
                <w:color w:val="000000"/>
                <w:sz w:val="22"/>
                <w:u w:val="none"/>
                <w:lang w:eastAsia="zh-CN"/>
              </w:rPr>
              <w:t>库（浓桥）；浓桥粮库；正阳水产罐头联营公司；烟草公司</w:t>
            </w:r>
            <w:r>
              <w:rPr>
                <w:rFonts w:hint="default" w:ascii="Arial" w:hAnsi="宋体"/>
                <w:b w:val="0"/>
                <w:i w:val="0"/>
                <w:color w:val="000000"/>
                <w:sz w:val="22"/>
                <w:u w:val="none"/>
              </w:rPr>
              <w:t xml:space="preserve"> </w:t>
            </w:r>
            <w:r>
              <w:rPr>
                <w:rFonts w:hint="eastAsia" w:ascii="Arial" w:hAnsi="宋体"/>
                <w:b w:val="0"/>
                <w:i w:val="0"/>
                <w:color w:val="000000"/>
                <w:sz w:val="22"/>
                <w:u w:val="none"/>
                <w:lang w:eastAsia="zh-CN"/>
              </w:rPr>
              <w:t>；</w:t>
            </w:r>
            <w:r>
              <w:rPr>
                <w:rFonts w:hint="default" w:ascii="宋体" w:hAnsi="宋体"/>
                <w:sz w:val="24"/>
              </w:rPr>
              <w:br/>
            </w:r>
          </w:p>
        </w:tc>
        <w:tc>
          <w:tcPr>
            <w:tcW w:w="1785" w:type="dxa"/>
            <w:textDirection w:val="lrTb"/>
            <w:vAlign w:val="center"/>
          </w:tcPr>
          <w:p>
            <w:pPr>
              <w:autoSpaceDN w:val="0"/>
              <w:jc w:val="left"/>
              <w:textAlignment w:val="center"/>
              <w:rPr>
                <w:rFonts w:hint="eastAsia"/>
                <w:lang w:eastAsia="zh-CN"/>
              </w:rPr>
            </w:pPr>
            <w:r>
              <w:rPr>
                <w:rFonts w:hint="default" w:ascii="宋体" w:hAnsi="宋体" w:eastAsia="宋体"/>
                <w:b w:val="0"/>
                <w:i w:val="0"/>
                <w:color w:val="000000"/>
                <w:sz w:val="24"/>
                <w:u w:val="none"/>
                <w:lang w:eastAsia="zh-CN"/>
              </w:rPr>
              <w:t>随机</w:t>
            </w:r>
            <w:r>
              <w:rPr>
                <w:rFonts w:hint="default" w:ascii="宋体" w:hAnsi="宋体" w:eastAsia="宋体"/>
                <w:b w:val="0"/>
                <w:i w:val="0"/>
                <w:color w:val="000000"/>
                <w:sz w:val="24"/>
                <w:u w:val="none"/>
                <w:lang w:eastAsia="zh-CN"/>
              </w:rPr>
              <w:br/>
            </w:r>
            <w:r>
              <w:rPr>
                <w:rFonts w:hint="default" w:ascii="宋体" w:hAnsi="宋体" w:eastAsia="宋体"/>
                <w:b w:val="0"/>
                <w:i w:val="0"/>
                <w:color w:val="000000"/>
                <w:sz w:val="24"/>
                <w:u w:val="none"/>
                <w:lang w:eastAsia="zh-CN"/>
              </w:rPr>
              <w:t>抽查</w:t>
            </w:r>
          </w:p>
        </w:tc>
        <w:tc>
          <w:tcPr>
            <w:tcW w:w="1350" w:type="dxa"/>
            <w:textDirection w:val="lrTb"/>
            <w:vAlign w:val="center"/>
          </w:tcPr>
          <w:p>
            <w:pPr>
              <w:autoSpaceDN w:val="0"/>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9" w:type="dxa"/>
            <w:textDirection w:val="lrTb"/>
            <w:vAlign w:val="top"/>
          </w:tcPr>
          <w:p>
            <w:pPr>
              <w:autoSpaceDN w:val="0"/>
              <w:jc w:val="center"/>
              <w:textAlignment w:val="top"/>
              <w:rPr>
                <w:rFonts w:hint="eastAsia"/>
                <w:lang w:val="en-US" w:eastAsia="zh-CN"/>
              </w:rPr>
            </w:pPr>
            <w:r>
              <w:rPr>
                <w:rFonts w:hint="default" w:ascii="宋体" w:hAnsi="宋体" w:eastAsia="宋体"/>
                <w:b w:val="0"/>
                <w:i w:val="0"/>
                <w:color w:val="000000"/>
                <w:sz w:val="22"/>
                <w:u w:val="none"/>
                <w:lang w:eastAsia="zh-CN"/>
              </w:rPr>
              <w:t>2</w:t>
            </w:r>
          </w:p>
        </w:tc>
        <w:tc>
          <w:tcPr>
            <w:tcW w:w="1350" w:type="dxa"/>
            <w:textDirection w:val="lrTb"/>
            <w:vAlign w:val="top"/>
          </w:tcPr>
          <w:p>
            <w:pPr>
              <w:autoSpaceDN w:val="0"/>
              <w:jc w:val="center"/>
              <w:textAlignment w:val="top"/>
              <w:rPr>
                <w:rFonts w:hint="eastAsia"/>
                <w:lang w:eastAsia="zh-CN"/>
              </w:rPr>
            </w:pPr>
            <w:r>
              <w:rPr>
                <w:rFonts w:hint="default" w:ascii="宋体" w:hAnsi="宋体" w:eastAsia="宋体"/>
                <w:b w:val="0"/>
                <w:i w:val="0"/>
                <w:color w:val="000000"/>
                <w:sz w:val="22"/>
                <w:u w:val="none"/>
                <w:lang w:eastAsia="zh-CN"/>
              </w:rPr>
              <w:t>抚远市公安局经保大队</w:t>
            </w:r>
          </w:p>
        </w:tc>
        <w:tc>
          <w:tcPr>
            <w:tcW w:w="1110" w:type="dxa"/>
            <w:textDirection w:val="lrTb"/>
            <w:vAlign w:val="top"/>
          </w:tcPr>
          <w:p>
            <w:pPr>
              <w:autoSpaceDN w:val="0"/>
              <w:jc w:val="center"/>
              <w:textAlignment w:val="top"/>
              <w:rPr>
                <w:rFonts w:hint="eastAsia"/>
                <w:lang w:eastAsia="zh-CN"/>
              </w:rPr>
            </w:pPr>
            <w:r>
              <w:rPr>
                <w:rFonts w:hint="default" w:ascii="宋体" w:hAnsi="宋体" w:eastAsia="宋体"/>
                <w:b w:val="0"/>
                <w:i w:val="0"/>
                <w:color w:val="000000"/>
                <w:sz w:val="22"/>
                <w:u w:val="none"/>
                <w:lang w:eastAsia="zh-CN"/>
              </w:rPr>
              <w:t>单位内部治安保卫工作的行政监督检查</w:t>
            </w:r>
          </w:p>
        </w:tc>
        <w:tc>
          <w:tcPr>
            <w:tcW w:w="3501" w:type="dxa"/>
            <w:textDirection w:val="lrTb"/>
            <w:vAlign w:val="top"/>
          </w:tcPr>
          <w:p>
            <w:pPr>
              <w:autoSpaceDN w:val="0"/>
              <w:jc w:val="left"/>
              <w:textAlignment w:val="top"/>
              <w:rPr>
                <w:rFonts w:hint="eastAsia" w:ascii="宋体" w:hAnsi="宋体" w:eastAsia="宋体" w:cs="宋体"/>
                <w:b/>
                <w:i w:val="0"/>
                <w:color w:val="000000"/>
                <w:kern w:val="0"/>
                <w:sz w:val="22"/>
                <w:szCs w:val="22"/>
                <w:u w:val="none"/>
                <w:lang w:val="en-US" w:eastAsia="zh-CN"/>
              </w:rPr>
            </w:pPr>
            <w:r>
              <w:rPr>
                <w:rFonts w:hint="default" w:ascii="宋体" w:hAnsi="宋体" w:eastAsia="宋体"/>
                <w:b/>
                <w:i w:val="0"/>
                <w:color w:val="000000"/>
                <w:sz w:val="18"/>
                <w:u w:val="none"/>
                <w:lang w:eastAsia="zh-CN"/>
              </w:rPr>
              <w:t>一、行政法规</w:t>
            </w:r>
            <w:r>
              <w:rPr>
                <w:rFonts w:hint="default" w:ascii="宋体" w:hAnsi="宋体" w:eastAsia="宋体"/>
                <w:b w:val="0"/>
                <w:i w:val="0"/>
                <w:color w:val="000000"/>
                <w:sz w:val="18"/>
                <w:u w:val="none"/>
                <w:lang w:eastAsia="zh-CN"/>
              </w:rPr>
              <w:t xml:space="preserve">  《企业事业单位内部治安保卫条例》（2004年国务院第421号令）第十六条 公安机关对本行政区域内的单位内部治安保卫工作履行下列职责：（一）指导单位制定、完善内部治安保卫制度，落实治安防范措施，指导治安保卫人员队伍建设和治安保卫重点单位的治安保卫机构建设；（二）检查、指导单位的内部治安保卫工作，发现单位有违反本条例规定的行为或者治安隐患，及时下达整改通知书，责令限期整改。</w:t>
            </w:r>
            <w:r>
              <w:rPr>
                <w:rFonts w:hint="default" w:ascii="宋体" w:hAnsi="宋体"/>
                <w:sz w:val="24"/>
              </w:rPr>
              <w:br/>
            </w:r>
            <w:r>
              <w:rPr>
                <w:rFonts w:hint="default" w:ascii="宋体" w:hAnsi="宋体" w:eastAsia="宋体"/>
                <w:b w:val="0"/>
                <w:i w:val="0"/>
                <w:color w:val="000000"/>
                <w:sz w:val="18"/>
                <w:u w:val="none"/>
                <w:lang w:eastAsia="zh-CN"/>
              </w:rPr>
              <w:t>二、</w:t>
            </w:r>
            <w:r>
              <w:rPr>
                <w:rFonts w:hint="default" w:ascii="宋体" w:hAnsi="宋体" w:eastAsia="宋体"/>
                <w:b/>
                <w:i w:val="0"/>
                <w:color w:val="000000"/>
                <w:sz w:val="18"/>
                <w:u w:val="none"/>
                <w:lang w:eastAsia="zh-CN"/>
              </w:rPr>
              <w:t>部门规章</w:t>
            </w:r>
            <w:r>
              <w:rPr>
                <w:rFonts w:hint="default" w:ascii="宋体" w:hAnsi="宋体" w:eastAsia="宋体"/>
                <w:b w:val="0"/>
                <w:i w:val="0"/>
                <w:color w:val="000000"/>
                <w:sz w:val="18"/>
                <w:u w:val="none"/>
                <w:lang w:eastAsia="zh-CN"/>
              </w:rPr>
              <w:t xml:space="preserve">  《公安机关监督检查企业事业单位内部治安保卫工作规定》（2007年公安部令第93号）第四条 公安机关对单位内部治安保卫工作的下列事项进行监督检查：（一)单位按照《条例》规定制定和落实内部治安保卫制度情况；（二）单位主要负责人落实内部治安保卫责任制情况；(三)单位设置治安保卫机构和配备专职、兼职治安保卫人员情况；(四)单位落实出入登记、守卫看护、巡逻检查、重要部位重点保护、治安隐患排查处理等内部治安保卫措施情况；(五)单位治安防范设施、使用和维护情况；(六)单位内部治安保卫机构、治安保卫人员依法履行职责情况；(七)单位管理范围内的人员遵守单位内部治安保卫制度情况；(八)单位内部治安保卫人员接受有关法律知识和治安保卫业务、技能以及相关专业知识培训、考核情况；(九)其他依法应当监督检查的内容。</w:t>
            </w:r>
            <w:r>
              <w:rPr>
                <w:rFonts w:hint="default" w:ascii="宋体" w:hAnsi="宋体"/>
                <w:sz w:val="24"/>
              </w:rPr>
              <w:br/>
            </w:r>
            <w:r>
              <w:rPr>
                <w:rFonts w:hint="default" w:ascii="宋体" w:hAnsi="宋体" w:eastAsia="宋体"/>
                <w:b w:val="0"/>
                <w:i w:val="0"/>
                <w:color w:val="000000"/>
                <w:sz w:val="18"/>
                <w:u w:val="none"/>
                <w:lang w:eastAsia="zh-CN"/>
              </w:rPr>
              <w:t>《公安机关监督检查企业事业单位内部治安保卫工作规定》（2007年公安部令第93号）第五条 公安机关监督检查治安保卫重点单位，除执行本规定第四条规定外，还应当对下列事项进行监督检查：(一)治安保卫机构设置和人员配备报主管公安机关备案情况；(二)治安保卫重要部位确定情况；(三)按照国家有关标准对治安保卫重要单位设置必要的安全技术防范设施，并实施重点保护情况；(四)制定单位内部治安突发事件处置预案及组织演练情况；(五)其他依法应当监督检查内容。</w:t>
            </w:r>
          </w:p>
        </w:tc>
        <w:tc>
          <w:tcPr>
            <w:tcW w:w="2745" w:type="dxa"/>
            <w:textDirection w:val="lrTb"/>
            <w:vAlign w:val="center"/>
          </w:tcPr>
          <w:p>
            <w:pPr>
              <w:autoSpaceDN w:val="0"/>
              <w:jc w:val="left"/>
              <w:textAlignment w:val="center"/>
              <w:rPr>
                <w:rFonts w:hint="eastAsia" w:ascii="宋体" w:hAnsi="宋体" w:eastAsia="宋体" w:cs="宋体"/>
                <w:i w:val="0"/>
                <w:color w:val="000000"/>
                <w:kern w:val="0"/>
                <w:sz w:val="22"/>
                <w:szCs w:val="22"/>
                <w:u w:val="none"/>
                <w:lang w:val="en-US" w:eastAsia="zh-CN"/>
              </w:rPr>
            </w:pPr>
            <w:r>
              <w:rPr>
                <w:rFonts w:hint="default" w:ascii="宋体" w:hAnsi="宋体" w:eastAsia="宋体"/>
                <w:b w:val="0"/>
                <w:i w:val="0"/>
                <w:color w:val="000000"/>
                <w:sz w:val="22"/>
                <w:u w:val="none"/>
                <w:lang w:eastAsia="zh-CN"/>
              </w:rPr>
              <w:t>1.是否制定、完善内部治安保卫制度，落实治安防范措施，指导治安保卫人员队伍建设和治安保卫重点单位的治安保卫机构建设；</w:t>
            </w:r>
            <w:r>
              <w:rPr>
                <w:rFonts w:hint="default" w:ascii="宋体" w:hAnsi="宋体" w:eastAsia="宋体"/>
                <w:b w:val="0"/>
                <w:i w:val="0"/>
                <w:color w:val="000000"/>
                <w:sz w:val="22"/>
                <w:u w:val="none"/>
                <w:lang w:eastAsia="zh-CN"/>
              </w:rPr>
              <w:br/>
            </w:r>
            <w:r>
              <w:rPr>
                <w:rFonts w:hint="default" w:ascii="宋体" w:hAnsi="宋体" w:eastAsia="宋体"/>
                <w:b w:val="0"/>
                <w:i w:val="0"/>
                <w:color w:val="000000"/>
                <w:sz w:val="22"/>
                <w:u w:val="none"/>
                <w:lang w:eastAsia="zh-CN"/>
              </w:rPr>
              <w:t>2.是否存在治安隐患。</w:t>
            </w:r>
            <w:r>
              <w:rPr>
                <w:rFonts w:hint="default" w:ascii="宋体" w:hAnsi="宋体" w:eastAsia="宋体"/>
                <w:b w:val="0"/>
                <w:i w:val="0"/>
                <w:color w:val="000000"/>
                <w:sz w:val="22"/>
                <w:u w:val="none"/>
                <w:lang w:eastAsia="zh-CN"/>
              </w:rPr>
              <w:br/>
            </w:r>
            <w:r>
              <w:rPr>
                <w:rFonts w:hint="default" w:ascii="宋体" w:hAnsi="宋体" w:eastAsia="宋体"/>
                <w:b w:val="0"/>
                <w:i w:val="0"/>
                <w:color w:val="000000"/>
                <w:sz w:val="22"/>
                <w:u w:val="none"/>
                <w:lang w:eastAsia="zh-CN"/>
              </w:rPr>
              <w:t>3.检查单位落实内部治安保卫制度情况；单位主要负责人落实内部治安保卫责任制情况；单位设置治安保卫机构和配备专职、兼职治安保卫人员情况；单位落实出入登记、守卫看护、巡逻检查、重要部位重点保护、治安隐患排查处理等内部治安保卫措施情况；(五)单位治安防范设施、</w:t>
            </w:r>
            <w:r>
              <w:rPr>
                <w:rFonts w:hint="default" w:ascii="宋体" w:hAnsi="宋体" w:eastAsia="宋体"/>
                <w:b w:val="0"/>
                <w:i w:val="0"/>
                <w:color w:val="000000"/>
                <w:sz w:val="22"/>
                <w:u w:val="none"/>
                <w:lang w:eastAsia="zh-CN"/>
              </w:rPr>
              <w:br/>
            </w:r>
            <w:r>
              <w:rPr>
                <w:rFonts w:hint="default" w:ascii="宋体" w:hAnsi="宋体" w:eastAsia="宋体"/>
                <w:b w:val="0"/>
                <w:i w:val="0"/>
                <w:color w:val="000000"/>
                <w:sz w:val="22"/>
                <w:u w:val="none"/>
                <w:lang w:eastAsia="zh-CN"/>
              </w:rPr>
              <w:t>使用和维护情况；(六)单位内部治安保卫机构、治安保卫人员依法履行职责情况；(七)单位管理范围内的人员遵守单位内部治安保卫制度情况；(八)单位内部治安保卫</w:t>
            </w:r>
            <w:r>
              <w:rPr>
                <w:rFonts w:hint="default" w:ascii="宋体" w:hAnsi="宋体" w:eastAsia="宋体"/>
                <w:b w:val="0"/>
                <w:i w:val="0"/>
                <w:color w:val="000000"/>
                <w:sz w:val="22"/>
                <w:u w:val="none"/>
                <w:lang w:eastAsia="zh-CN"/>
              </w:rPr>
              <w:br/>
            </w:r>
            <w:r>
              <w:rPr>
                <w:rFonts w:hint="default" w:ascii="宋体" w:hAnsi="宋体" w:eastAsia="宋体"/>
                <w:b w:val="0"/>
                <w:i w:val="0"/>
                <w:color w:val="000000"/>
                <w:sz w:val="22"/>
                <w:u w:val="none"/>
                <w:lang w:eastAsia="zh-CN"/>
              </w:rPr>
              <w:t>人员接受有关法律知识和治安保卫业务、技能以及相关专业知识培训、考核情况；(九)其他依法应当监督检查的内容。</w:t>
            </w:r>
            <w:r>
              <w:rPr>
                <w:rFonts w:hint="default" w:ascii="宋体" w:hAnsi="宋体" w:eastAsia="宋体"/>
                <w:b w:val="0"/>
                <w:i w:val="0"/>
                <w:color w:val="000000"/>
                <w:sz w:val="22"/>
                <w:u w:val="none"/>
                <w:lang w:eastAsia="zh-CN"/>
              </w:rPr>
              <w:br/>
            </w:r>
            <w:r>
              <w:rPr>
                <w:rFonts w:hint="default" w:ascii="宋体" w:hAnsi="宋体" w:eastAsia="宋体"/>
                <w:b w:val="0"/>
                <w:i w:val="0"/>
                <w:color w:val="000000"/>
                <w:sz w:val="22"/>
                <w:u w:val="none"/>
                <w:lang w:eastAsia="zh-CN"/>
              </w:rPr>
              <w:t>4.治安保卫机构设置和人员配备报主管公安机关备案情况；治安保卫重要部位确定情况；按照国家有关标准对治安保卫重要单位设置必要的安全技术防范设施，并实施重点保护情况；制定单位内部治安突发事件处置预案及组织演练情况；(五)其他依法应当监督检查内容。</w:t>
            </w:r>
          </w:p>
        </w:tc>
        <w:tc>
          <w:tcPr>
            <w:tcW w:w="1710" w:type="dxa"/>
            <w:textDirection w:val="lrTb"/>
            <w:vAlign w:val="center"/>
          </w:tcPr>
          <w:p>
            <w:pPr>
              <w:autoSpaceDN w:val="0"/>
              <w:jc w:val="left"/>
              <w:textAlignment w:val="center"/>
              <w:rPr>
                <w:rFonts w:hint="eastAsia"/>
                <w:lang w:eastAsia="zh-CN"/>
              </w:rPr>
            </w:pPr>
            <w:r>
              <w:rPr>
                <w:rFonts w:hint="default" w:ascii="宋体" w:hAnsi="宋体" w:eastAsia="宋体"/>
                <w:b w:val="0"/>
                <w:i w:val="0"/>
                <w:color w:val="000000"/>
                <w:sz w:val="22"/>
                <w:u w:val="none"/>
                <w:lang w:eastAsia="zh-CN"/>
              </w:rPr>
              <w:t>人民银行；工商银行；中国农业银行；中国建设银行；中国农业发展银行；中国银行；中国邮政储蓄银行；中国邮政集团公司；农村信用合作联社；中国人寿保险公司；人民财产保险；润龙押运；金盾保安公司；供排水公司；新世纪热力有限公司；抚远供电公司；中国石油天然气公司；国光液化石油气公司；广播电视网络公司；移动；联通；电信；海清粮库；大连良运粮油购销有限公司</w:t>
            </w:r>
            <w:r>
              <w:rPr>
                <w:rFonts w:hint="eastAsia" w:ascii="宋体" w:hAnsi="宋体"/>
                <w:b w:val="0"/>
                <w:i w:val="0"/>
                <w:color w:val="000000"/>
                <w:sz w:val="22"/>
                <w:u w:val="none"/>
                <w:lang w:eastAsia="zh-CN"/>
              </w:rPr>
              <w:t>；</w:t>
            </w:r>
            <w:r>
              <w:rPr>
                <w:rFonts w:hint="default" w:ascii="宋体" w:hAnsi="宋体" w:eastAsia="宋体"/>
                <w:b w:val="0"/>
                <w:i w:val="0"/>
                <w:color w:val="000000"/>
                <w:sz w:val="22"/>
                <w:u w:val="none"/>
                <w:lang w:eastAsia="zh-CN"/>
              </w:rPr>
              <w:t>金谷隆凯</w:t>
            </w:r>
            <w:r>
              <w:rPr>
                <w:rFonts w:hint="eastAsia" w:ascii="宋体" w:hAnsi="宋体"/>
                <w:b w:val="0"/>
                <w:i w:val="0"/>
                <w:color w:val="000000"/>
                <w:sz w:val="22"/>
                <w:u w:val="none"/>
                <w:lang w:eastAsia="zh-CN"/>
              </w:rPr>
              <w:t>粮</w:t>
            </w:r>
            <w:r>
              <w:rPr>
                <w:rFonts w:hint="default" w:ascii="宋体" w:hAnsi="宋体" w:eastAsia="宋体"/>
                <w:b w:val="0"/>
                <w:i w:val="0"/>
                <w:color w:val="000000"/>
                <w:sz w:val="22"/>
                <w:u w:val="none"/>
                <w:lang w:eastAsia="zh-CN"/>
              </w:rPr>
              <w:t>库（浓桥）；浓桥粮库；正阳水产罐头联营公司；烟草公司</w:t>
            </w:r>
            <w:r>
              <w:rPr>
                <w:rFonts w:hint="default" w:ascii="Arial" w:hAnsi="宋体"/>
                <w:b w:val="0"/>
                <w:i w:val="0"/>
                <w:color w:val="000000"/>
                <w:sz w:val="22"/>
                <w:u w:val="none"/>
              </w:rPr>
              <w:t xml:space="preserve"> </w:t>
            </w:r>
            <w:r>
              <w:rPr>
                <w:rFonts w:hint="eastAsia" w:ascii="Arial" w:hAnsi="宋体"/>
                <w:b w:val="0"/>
                <w:i w:val="0"/>
                <w:color w:val="000000"/>
                <w:sz w:val="22"/>
                <w:u w:val="none"/>
                <w:lang w:eastAsia="zh-CN"/>
              </w:rPr>
              <w:t>；</w:t>
            </w:r>
            <w:r>
              <w:rPr>
                <w:rFonts w:hint="default" w:ascii="宋体" w:hAnsi="宋体"/>
                <w:sz w:val="24"/>
              </w:rPr>
              <w:br/>
            </w:r>
            <w:r>
              <w:rPr>
                <w:rFonts w:hint="default" w:ascii="Arial" w:hAnsi="宋体"/>
                <w:b w:val="0"/>
                <w:i w:val="0"/>
                <w:color w:val="000000"/>
                <w:sz w:val="22"/>
                <w:u w:val="none"/>
              </w:rPr>
              <w:t xml:space="preserve"> </w:t>
            </w:r>
            <w:r>
              <w:rPr>
                <w:rFonts w:hint="default" w:ascii="宋体" w:hAnsi="宋体"/>
                <w:sz w:val="24"/>
              </w:rPr>
              <w:br/>
            </w:r>
          </w:p>
        </w:tc>
        <w:tc>
          <w:tcPr>
            <w:tcW w:w="1785" w:type="dxa"/>
            <w:textDirection w:val="lrTb"/>
            <w:vAlign w:val="center"/>
          </w:tcPr>
          <w:p>
            <w:pPr>
              <w:autoSpaceDN w:val="0"/>
              <w:jc w:val="left"/>
              <w:textAlignment w:val="center"/>
              <w:rPr>
                <w:rFonts w:hint="eastAsia"/>
                <w:lang w:eastAsia="zh-CN"/>
              </w:rPr>
            </w:pPr>
            <w:r>
              <w:rPr>
                <w:rFonts w:hint="default" w:ascii="宋体" w:hAnsi="宋体" w:eastAsia="宋体"/>
                <w:b w:val="0"/>
                <w:i w:val="0"/>
                <w:color w:val="000000"/>
                <w:sz w:val="24"/>
                <w:u w:val="none"/>
                <w:lang w:eastAsia="zh-CN"/>
              </w:rPr>
              <w:t>随机</w:t>
            </w:r>
            <w:r>
              <w:rPr>
                <w:rFonts w:hint="default" w:ascii="宋体" w:hAnsi="宋体" w:eastAsia="宋体"/>
                <w:b w:val="0"/>
                <w:i w:val="0"/>
                <w:color w:val="000000"/>
                <w:sz w:val="24"/>
                <w:u w:val="none"/>
                <w:lang w:eastAsia="zh-CN"/>
              </w:rPr>
              <w:br/>
            </w:r>
            <w:r>
              <w:rPr>
                <w:rFonts w:hint="default" w:ascii="宋体" w:hAnsi="宋体" w:eastAsia="宋体"/>
                <w:b w:val="0"/>
                <w:i w:val="0"/>
                <w:color w:val="000000"/>
                <w:sz w:val="24"/>
                <w:u w:val="none"/>
                <w:lang w:eastAsia="zh-CN"/>
              </w:rPr>
              <w:t>抽查</w:t>
            </w:r>
          </w:p>
        </w:tc>
        <w:tc>
          <w:tcPr>
            <w:tcW w:w="1350" w:type="dxa"/>
            <w:textDirection w:val="lrTb"/>
            <w:vAlign w:val="center"/>
          </w:tcPr>
          <w:p>
            <w:pPr>
              <w:autoSpaceDN w:val="0"/>
              <w:jc w:val="left"/>
              <w:textAlignment w:val="center"/>
            </w:pPr>
          </w:p>
        </w:tc>
      </w:tr>
    </w:tbl>
    <w:p>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 w:type="character" w:customStyle="1" w:styleId="3">
    <w:name w:val="font11"/>
    <w:basedOn w:val="2"/>
    <w:uiPriority w:val="0"/>
    <w:rPr>
      <w:rFonts w:hint="eastAsia" w:ascii="宋体" w:hAnsi="宋体" w:eastAsia="宋体" w:cs="宋体"/>
      <w:color w:val="000000"/>
      <w:sz w:val="22"/>
      <w:szCs w:val="22"/>
      <w:u w:val="none"/>
    </w:rPr>
  </w:style>
  <w:style w:type="character" w:customStyle="1" w:styleId="4">
    <w:name w:val="font31"/>
    <w:basedOn w:val="2"/>
    <w:uiPriority w:val="0"/>
    <w:rPr>
      <w:rFonts w:hint="eastAsia" w:ascii="宋体" w:hAnsi="宋体" w:eastAsia="宋体" w:cs="宋体"/>
      <w:color w:val="0000FF"/>
      <w:sz w:val="22"/>
      <w:szCs w:val="22"/>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个人版_9.1.0.4517_{F1E327BC-269C-435d-A152-05C5408002CA}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未定义</cp:lastModifiedBy>
  <dcterms:modified xsi:type="dcterms:W3CDTF">2016-06-15T07:59:31Z</dcterms:modified>
  <dc:title>序号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